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95B3D7"/>
  <w:body>
    <w:p w:rsidR="00000000" w:rsidDel="00000000" w:rsidP="00000000" w:rsidRDefault="00000000" w:rsidRPr="00000000">
      <w:pPr>
        <w:pBdr/>
        <w:bidi w:val="1"/>
        <w:contextualSpacing w:val="0"/>
        <w:jc w:val="center"/>
        <w:rPr>
          <w:b w:val="1"/>
          <w:i w:val="1"/>
          <w:sz w:val="40"/>
          <w:szCs w:val="40"/>
        </w:rPr>
      </w:pPr>
      <w:r w:rsidDel="00000000" w:rsidR="00000000" w:rsidRPr="00000000">
        <w:rPr>
          <w:b w:val="1"/>
          <w:i w:val="1"/>
          <w:sz w:val="40"/>
          <w:szCs w:val="40"/>
          <w:rtl w:val="1"/>
        </w:rPr>
        <w:t xml:space="preserve">الجمهورية</w:t>
      </w:r>
      <w:r w:rsidDel="00000000" w:rsidR="00000000" w:rsidRPr="00000000">
        <w:rPr>
          <w:b w:val="1"/>
          <w:i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i w:val="1"/>
          <w:sz w:val="40"/>
          <w:szCs w:val="40"/>
          <w:rtl w:val="1"/>
        </w:rPr>
        <w:t xml:space="preserve">الجزائرية</w:t>
      </w:r>
      <w:r w:rsidDel="00000000" w:rsidR="00000000" w:rsidRPr="00000000">
        <w:rPr>
          <w:b w:val="1"/>
          <w:i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i w:val="1"/>
          <w:sz w:val="40"/>
          <w:szCs w:val="40"/>
          <w:rtl w:val="1"/>
        </w:rPr>
        <w:t xml:space="preserve">الديمقراطية</w:t>
      </w:r>
      <w:r w:rsidDel="00000000" w:rsidR="00000000" w:rsidRPr="00000000">
        <w:rPr>
          <w:b w:val="1"/>
          <w:i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i w:val="1"/>
          <w:sz w:val="40"/>
          <w:szCs w:val="40"/>
          <w:rtl w:val="1"/>
        </w:rPr>
        <w:t xml:space="preserve">الشعبية</w:t>
      </w:r>
    </w:p>
    <w:p w:rsidR="00000000" w:rsidDel="00000000" w:rsidP="00000000" w:rsidRDefault="00000000" w:rsidRPr="00000000">
      <w:pPr>
        <w:pBdr/>
        <w:bidi w:val="1"/>
        <w:contextualSpacing w:val="0"/>
        <w:jc w:val="center"/>
        <w:rPr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jc w:val="center"/>
        <w:rPr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color w:val="1f497d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97d"/>
          <w:sz w:val="40"/>
          <w:szCs w:val="40"/>
          <w:rtl w:val="1"/>
        </w:rPr>
        <w:t xml:space="preserve">المنتدى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97d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97d"/>
          <w:sz w:val="40"/>
          <w:szCs w:val="40"/>
          <w:rtl w:val="1"/>
        </w:rPr>
        <w:t xml:space="preserve">العالمي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97d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97d"/>
          <w:sz w:val="40"/>
          <w:szCs w:val="40"/>
          <w:rtl w:val="1"/>
        </w:rPr>
        <w:t xml:space="preserve">للحد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97d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97d"/>
          <w:sz w:val="40"/>
          <w:szCs w:val="40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97d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97d"/>
          <w:sz w:val="40"/>
          <w:szCs w:val="40"/>
          <w:rtl w:val="1"/>
        </w:rPr>
        <w:t xml:space="preserve">مخاطر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97d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97d"/>
          <w:sz w:val="40"/>
          <w:szCs w:val="40"/>
          <w:rtl w:val="1"/>
        </w:rPr>
        <w:t xml:space="preserve">الكوارث</w:t>
      </w:r>
    </w:p>
    <w:p w:rsidR="00000000" w:rsidDel="00000000" w:rsidP="00000000" w:rsidRDefault="00000000" w:rsidRPr="00000000">
      <w:pPr>
        <w:pBdr/>
        <w:bidi w:val="1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color w:val="1f497d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97d"/>
          <w:sz w:val="40"/>
          <w:szCs w:val="40"/>
          <w:rtl w:val="1"/>
        </w:rPr>
        <w:t xml:space="preserve">كانكون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97d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97d"/>
          <w:sz w:val="40"/>
          <w:szCs w:val="40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97d"/>
          <w:sz w:val="40"/>
          <w:szCs w:val="40"/>
          <w:rtl w:val="1"/>
        </w:rPr>
        <w:t xml:space="preserve"> 22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97d"/>
          <w:sz w:val="40"/>
          <w:szCs w:val="40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97d"/>
          <w:sz w:val="40"/>
          <w:szCs w:val="40"/>
          <w:rtl w:val="1"/>
        </w:rPr>
        <w:t xml:space="preserve"> 26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97d"/>
          <w:sz w:val="40"/>
          <w:szCs w:val="40"/>
          <w:rtl w:val="1"/>
        </w:rPr>
        <w:t xml:space="preserve">ماي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97d"/>
          <w:sz w:val="40"/>
          <w:szCs w:val="40"/>
          <w:rtl w:val="1"/>
        </w:rPr>
        <w:t xml:space="preserve"> 2017</w:t>
      </w:r>
    </w:p>
    <w:p w:rsidR="00000000" w:rsidDel="00000000" w:rsidP="00000000" w:rsidRDefault="00000000" w:rsidRPr="00000000">
      <w:pPr>
        <w:pBdr/>
        <w:bidi w:val="1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color w:val="1f497d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97d"/>
          <w:sz w:val="40"/>
          <w:szCs w:val="40"/>
          <w:rtl w:val="1"/>
        </w:rPr>
        <w:t xml:space="preserve">الإعـــــــــلان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97d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97d"/>
          <w:sz w:val="40"/>
          <w:szCs w:val="40"/>
          <w:rtl w:val="1"/>
        </w:rPr>
        <w:t xml:space="preserve">الــــــــرسمــي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97d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97d"/>
          <w:sz w:val="40"/>
          <w:szCs w:val="40"/>
          <w:rtl w:val="1"/>
        </w:rPr>
        <w:t xml:space="preserve">للجزائـــــر</w:t>
      </w:r>
    </w:p>
    <w:p w:rsidR="00000000" w:rsidDel="00000000" w:rsidP="00000000" w:rsidRDefault="00000000" w:rsidRPr="00000000">
      <w:pPr>
        <w:pBdr/>
        <w:bidi w:val="1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سيدي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الرئيس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المحترم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السيدات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والسادة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المندوبون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الكرام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السيدات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والسادة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الأفاضل</w:t>
      </w:r>
    </w:p>
    <w:p w:rsidR="00000000" w:rsidDel="00000000" w:rsidP="00000000" w:rsidRDefault="00000000" w:rsidRPr="00000000">
      <w:pPr>
        <w:pBdr/>
        <w:bidi w:val="1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يسعد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الوفد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الجزائري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يشارك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فيالمنتدى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العالمي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الخامس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للحد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مخاطر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الكوارث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ويتقدم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بالشكر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الجزيل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لجمهورية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المكسيك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كرم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الضيافة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والتحضير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المحكم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للأشغال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كانكون</w:t>
      </w:r>
    </w:p>
    <w:p w:rsidR="00000000" w:rsidDel="00000000" w:rsidP="00000000" w:rsidRDefault="00000000" w:rsidRPr="00000000">
      <w:pPr>
        <w:pBdr/>
        <w:bidi w:val="1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الجميلة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>
      <w:pPr>
        <w:pBdr/>
        <w:bidi w:val="1"/>
        <w:ind w:firstLine="708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يسره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يثمن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جليا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الجهود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المتواصلة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مكتب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الأمم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للحد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الكوارث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التسيير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لمخاطر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الكوارث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وتدعيم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قدرة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المجابهة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المستوى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العالمي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>
      <w:pPr>
        <w:pBdr/>
        <w:bidi w:val="1"/>
        <w:ind w:firstLine="708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>
      <w:pPr>
        <w:pBdr/>
        <w:bidi w:val="1"/>
        <w:ind w:firstLine="708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المناسبة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السعيدة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نهني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الأطراف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المعنية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للتقدم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الملحوظ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والنتائج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المحصلة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التكفل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بالإشكالية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ونلتزم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بمواصلة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الجماعي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لبلوغ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الأهداف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المسطرة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>
      <w:pPr>
        <w:pBdr/>
        <w:bidi w:val="1"/>
        <w:ind w:firstLine="708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firstLine="708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وبالنسبة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للجزائر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اعتماد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إطار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سنداي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القيام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بالأعمال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التالية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>
      <w:pPr>
        <w:pBdr/>
        <w:bidi w:val="1"/>
        <w:ind w:firstLine="708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تدعيم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الإطار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التشريعي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والتنظيمي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بالعديد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النصوص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تكمل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أسس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الخطط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وبرامج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القطاعات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bidi w:val="1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تعزيز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القاعدة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المؤسساتية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بتمديدها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المستوى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المحلى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الولايات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والبلديات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bidi w:val="1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تجسيد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بالمخاطر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سياسة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إعادة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تهيئة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الإقليم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ومخططات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التنمية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،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bidi w:val="1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تدعيم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القدرات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الدراسية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والبحثية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وتعزيز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برامج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التكوين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المتخصص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bidi w:val="1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إطلاق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حملات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إعلامية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موضوعاتية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موسعة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bidi w:val="1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تحضير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لانضمام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لشبكة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المجابهة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bidi w:val="1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تعزيز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القدرة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المجابهة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وتخفيف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القابلية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للتضرر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انجاز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برنامج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الجمهورية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الخاص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بالاستثمار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العمومي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نذكر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bidi w:val="1"/>
        <w:spacing w:after="0" w:before="0" w:line="276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برنامج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القضاء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الأحياء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القصديرية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وتجديد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السكن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الريفي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ثلاث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ملايين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سكنية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جديدة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2000،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bidi w:val="1"/>
        <w:spacing w:after="0" w:before="0" w:line="276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انجاز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بنية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تحتية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لحماية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بمبلغ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إجمالي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يقدر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1,6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ملياردولار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bidi w:val="1"/>
        <w:spacing w:after="0" w:before="0" w:line="276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برامج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متعددة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والحماية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ومكافحة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الفقر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وترقية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مكانة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أتت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بنتائج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مرضية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240" w:before="0" w:line="276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انتهاج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تنفيذ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محاور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السياسة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بالتغير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المناخي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وكذا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برامج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أهداف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التنمية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المستدامة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محتوى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الإستراتيجية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الوطنية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لتسيير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مخاطر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الكوارث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بإحداث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الأطر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المؤسساتية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المشتركة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المناسبة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لتجسيد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الأهداف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المسطرة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بالاتساق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المطلوب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>
      <w:pPr>
        <w:pBdr/>
        <w:bidi w:val="1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سيدي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الرئيس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</w:t>
      </w:r>
    </w:p>
    <w:p w:rsidR="00000000" w:rsidDel="00000000" w:rsidP="00000000" w:rsidRDefault="00000000" w:rsidRPr="00000000">
      <w:pPr>
        <w:pBdr/>
        <w:bidi w:val="1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تتمحور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الحالية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التحضير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الجاد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لبلوغ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الأهداف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المسطرة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لإطار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سنداي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وتكيف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الإستراتيجية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الوطنية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محتواه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القيام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بالأعمال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الآتية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لفهم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مخاطر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الكوارث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216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bidi w:val="1"/>
        <w:spacing w:after="0" w:before="0" w:line="240" w:lineRule="auto"/>
        <w:ind w:left="144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انجاز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وتحيين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قاعدة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بيانات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وطنية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ومحلية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متكاملة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تتعلق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بجرد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الخسائر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منطقة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خرائط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القابليات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للتضرر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للمخاطر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bidi w:val="1"/>
        <w:spacing w:after="0" w:before="0" w:line="240" w:lineRule="auto"/>
        <w:ind w:left="144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دعم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البحوث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المخاطر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بالدراسات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والاقتصادية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للمناطق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المهددة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للحد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العوامل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الخارجية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الفاعلة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لتعزيز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حوكمة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الحد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مخاطر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الكوارث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2628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bidi w:val="1"/>
        <w:spacing w:after="0" w:before="0" w:line="240" w:lineRule="auto"/>
        <w:ind w:left="144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توسيع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وتعزيز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القاعدة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المؤسساتية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الوطنية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والمحلية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وتفعيل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الانسجام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والتنسيق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القطاعي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تحديد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المسؤوليات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المستويات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bidi w:val="1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تعزيز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الأطراف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المعنية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ومساهمة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المواطن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الفعلية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للاستثمار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مجال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الحد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مخاطر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الكوارث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اجل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الزيادة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قدرة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المجابهة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bidi w:val="1"/>
        <w:spacing w:after="0" w:before="0" w:line="240" w:lineRule="auto"/>
        <w:ind w:left="144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الاستخدام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للموارد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المخصصة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مستوى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مخططات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الاستثمار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bidi w:val="1"/>
        <w:spacing w:after="0" w:before="0" w:line="240" w:lineRule="auto"/>
        <w:ind w:left="144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التقييم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الدوري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للتسيير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التنموي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لتعزيز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قدرة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المجابهة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bidi w:val="1"/>
        <w:spacing w:after="0" w:before="0" w:line="240" w:lineRule="auto"/>
        <w:ind w:left="144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تعزيز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وتنويع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آليات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تحويل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المخاطر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216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36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للتحضير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والتأهب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للكوارث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بغية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التصدي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بفعالية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وإعادة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البناء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أفضل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مرحلة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التعافي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وإعادة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32"/>
          <w:szCs w:val="32"/>
          <w:u w:val="none"/>
          <w:vertAlign w:val="baseline"/>
          <w:rtl w:val="1"/>
        </w:rPr>
        <w:t xml:space="preserve">البناء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bidi w:val="1"/>
        <w:spacing w:after="0" w:before="0" w:line="360" w:lineRule="auto"/>
        <w:ind w:left="1440" w:right="0" w:hanging="360"/>
        <w:contextualSpacing w:val="1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تعزيز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الخلية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الوطنية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لتسيير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الأزمات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وخلايا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الرصد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والإنذار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والمتابعة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المستويات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القطاعي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المشترك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تحسين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الإنذار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والتدخل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؛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bidi w:val="1"/>
        <w:spacing w:after="0" w:before="0" w:line="360" w:lineRule="auto"/>
        <w:ind w:left="1440" w:right="0" w:hanging="360"/>
        <w:contextualSpacing w:val="1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رقمنة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مخططات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التدخل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والإسعاف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وتعزيز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تنظيم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المناورات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القطاعية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المشتركة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bidi w:val="1"/>
        <w:spacing w:after="0" w:before="0" w:line="360" w:lineRule="auto"/>
        <w:ind w:left="1440" w:right="0" w:hanging="360"/>
        <w:contextualSpacing w:val="1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إدماج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التحضير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لاستمرارية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الكارثة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bidi w:val="1"/>
        <w:spacing w:after="240" w:before="0" w:line="360" w:lineRule="auto"/>
        <w:ind w:left="1440" w:right="0" w:hanging="360"/>
        <w:contextualSpacing w:val="1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تحسين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خطط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إنعاش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المناطق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المتضررة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وإعادة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الإعمار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والبناء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أفضل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مرحلة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التعافي</w:t>
      </w:r>
    </w:p>
    <w:p w:rsidR="00000000" w:rsidDel="00000000" w:rsidP="00000000" w:rsidRDefault="00000000" w:rsidRPr="00000000">
      <w:pPr>
        <w:pBdr/>
        <w:bidi w:val="1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سيدي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الرئيس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،</w:t>
      </w:r>
    </w:p>
    <w:p w:rsidR="00000000" w:rsidDel="00000000" w:rsidP="00000000" w:rsidRDefault="00000000" w:rsidRPr="00000000">
      <w:pPr>
        <w:pBdr/>
        <w:bidi w:val="1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تتجند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الجزائر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الدول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لإنجاح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المسعى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النبيل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وتكرر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توصياتها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>
      <w:pPr>
        <w:pBdr/>
        <w:bidi w:val="1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bidi w:val="1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تعزيز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التعاون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المتعدد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الأطراف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بإنشاء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آليات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دائمة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،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bidi w:val="1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تفعيل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وتدعيم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الصندوق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لمساعدة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البلدان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الفقيرة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،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bidi w:val="1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تعزيز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والتكنولوجية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تحسين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المخاطر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وتعميم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تقاسم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الممارسات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الجيدة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   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الختام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تؤكد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الجزائر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انضمامها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للمبادرات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والقرارات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المتخذة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الندوة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وتجدد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التزامها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للعمل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أهداف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إطار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سنداي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والاستمرار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القيام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بدور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فعال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للحد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مخاطر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الكوارث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المستوى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الوطني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والإقليمي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والدولي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72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أشكركم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الإصغاء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عليكم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ورحمة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الله</w:t>
      </w:r>
    </w:p>
    <w:sectPr>
      <w:footerReference r:id="rId6" w:type="default"/>
      <w:pgSz w:h="16838" w:w="11906"/>
      <w:pgMar w:bottom="1440" w:top="144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536"/>
        <w:tab w:val="right" w:pos="9072"/>
      </w:tabs>
      <w:bidi w:val="1"/>
      <w:spacing w:after="70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bidi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  <w:qFormat w:val="1"/>
    <w:rsid w:val="005051B6"/>
    <w:pPr>
      <w:bidi w:val="1"/>
    </w:pPr>
    <w:rPr>
      <w:sz w:val="22"/>
      <w:szCs w:val="22"/>
      <w:lang w:eastAsia="en-US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aragraphedeliste">
    <w:name w:val="List Paragraph"/>
    <w:basedOn w:val="Normal"/>
    <w:uiPriority w:val="34"/>
    <w:qFormat w:val="1"/>
    <w:rsid w:val="007A778D"/>
    <w:pPr>
      <w:ind w:left="720"/>
      <w:contextualSpacing w:val="1"/>
    </w:pPr>
  </w:style>
  <w:style w:type="paragraph" w:styleId="En-tte">
    <w:name w:val="header"/>
    <w:basedOn w:val="Normal"/>
    <w:link w:val="En-tteCar"/>
    <w:uiPriority w:val="99"/>
    <w:semiHidden w:val="1"/>
    <w:unhideWhenUsed w:val="1"/>
    <w:rsid w:val="00515B86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semiHidden w:val="1"/>
    <w:rsid w:val="00515B8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 w:val="1"/>
    <w:unhideWhenUsed w:val="1"/>
    <w:rsid w:val="00515B86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semiHidden w:val="1"/>
    <w:rsid w:val="00515B86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