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8735D" w14:textId="1E55A306" w:rsidR="002E524A" w:rsidRPr="002E524A" w:rsidRDefault="002E524A" w:rsidP="00203861">
      <w:pPr>
        <w:jc w:val="center"/>
        <w:rPr>
          <w:b/>
          <w:sz w:val="24"/>
          <w:szCs w:val="24"/>
        </w:rPr>
      </w:pPr>
      <w:r w:rsidRPr="002E524A">
        <w:rPr>
          <w:rFonts w:hint="eastAsia"/>
          <w:b/>
          <w:sz w:val="24"/>
          <w:szCs w:val="24"/>
        </w:rPr>
        <w:t>C</w:t>
      </w:r>
      <w:r w:rsidRPr="002E524A">
        <w:rPr>
          <w:b/>
          <w:sz w:val="24"/>
          <w:szCs w:val="24"/>
        </w:rPr>
        <w:t xml:space="preserve">hallenges </w:t>
      </w:r>
      <w:r w:rsidR="00981407" w:rsidRPr="002E524A">
        <w:rPr>
          <w:rFonts w:hint="eastAsia"/>
          <w:b/>
          <w:sz w:val="24"/>
          <w:szCs w:val="24"/>
        </w:rPr>
        <w:t>for</w:t>
      </w:r>
      <w:r w:rsidR="00981407" w:rsidRPr="002E524A">
        <w:rPr>
          <w:b/>
          <w:sz w:val="24"/>
          <w:szCs w:val="24"/>
        </w:rPr>
        <w:t xml:space="preserve"> the Sendai Framework for Disaster Risk Reduction 2015–2030</w:t>
      </w:r>
      <w:r w:rsidR="00981407">
        <w:rPr>
          <w:b/>
          <w:sz w:val="24"/>
          <w:szCs w:val="24"/>
        </w:rPr>
        <w:t xml:space="preserve"> </w:t>
      </w:r>
      <w:r w:rsidRPr="002E524A">
        <w:rPr>
          <w:b/>
          <w:sz w:val="24"/>
          <w:szCs w:val="24"/>
        </w:rPr>
        <w:t xml:space="preserve">beyond the Fukushima </w:t>
      </w:r>
      <w:r w:rsidR="0048449E">
        <w:rPr>
          <w:b/>
          <w:sz w:val="24"/>
          <w:szCs w:val="24"/>
        </w:rPr>
        <w:t>N</w:t>
      </w:r>
      <w:r w:rsidRPr="002E524A">
        <w:rPr>
          <w:b/>
          <w:sz w:val="24"/>
          <w:szCs w:val="24"/>
        </w:rPr>
        <w:t xml:space="preserve">uclear </w:t>
      </w:r>
      <w:r w:rsidR="0048449E">
        <w:rPr>
          <w:b/>
          <w:sz w:val="24"/>
          <w:szCs w:val="24"/>
        </w:rPr>
        <w:t>A</w:t>
      </w:r>
      <w:r w:rsidRPr="002E524A">
        <w:rPr>
          <w:b/>
          <w:sz w:val="24"/>
          <w:szCs w:val="24"/>
        </w:rPr>
        <w:t>ccident</w:t>
      </w:r>
    </w:p>
    <w:p w14:paraId="244FCFF7" w14:textId="77777777" w:rsidR="006A44FC" w:rsidRDefault="006A44FC" w:rsidP="002E524A"/>
    <w:p w14:paraId="18EB5171" w14:textId="38E6DCB1" w:rsidR="006A44FC" w:rsidRDefault="00DC251E" w:rsidP="002E524A">
      <w:r>
        <w:t xml:space="preserve">Nagasaki University </w:t>
      </w:r>
      <w:r w:rsidR="006A44FC">
        <w:rPr>
          <w:rFonts w:hint="eastAsia"/>
        </w:rPr>
        <w:t xml:space="preserve">Organizing </w:t>
      </w:r>
      <w:r>
        <w:t>T</w:t>
      </w:r>
      <w:r w:rsidR="006A44FC">
        <w:rPr>
          <w:rFonts w:hint="eastAsia"/>
        </w:rPr>
        <w:t xml:space="preserve">eam of </w:t>
      </w:r>
      <w:r w:rsidR="006A44FC">
        <w:t>for GP 2017</w:t>
      </w:r>
    </w:p>
    <w:p w14:paraId="75881BA3" w14:textId="4E3C2B0D" w:rsidR="00DC251E" w:rsidRPr="00DC251E" w:rsidRDefault="006A44FC" w:rsidP="00DC251E">
      <w:pPr>
        <w:rPr>
          <w:rFonts w:cs="Calibri"/>
          <w:color w:val="000000"/>
          <w:kern w:val="0"/>
          <w:szCs w:val="21"/>
        </w:rPr>
      </w:pPr>
      <w:r>
        <w:t xml:space="preserve">Prepared by </w:t>
      </w:r>
      <w:r w:rsidR="006E3379">
        <w:t>M</w:t>
      </w:r>
      <w:r w:rsidR="00A94221">
        <w:t xml:space="preserve">embers of </w:t>
      </w:r>
      <w:r w:rsidR="00A94221" w:rsidRPr="00A94221">
        <w:t>CICORN</w:t>
      </w:r>
      <w:r w:rsidR="00DC251E">
        <w:rPr>
          <w:rStyle w:val="aa"/>
        </w:rPr>
        <w:footnoteReference w:id="1"/>
      </w:r>
      <w:r w:rsidR="00A94221" w:rsidRPr="00A94221">
        <w:t xml:space="preserve"> (Center for International Collaborative Research)</w:t>
      </w:r>
      <w:r w:rsidR="00A94221">
        <w:t xml:space="preserve"> </w:t>
      </w:r>
    </w:p>
    <w:p w14:paraId="56D56BD3" w14:textId="57E246BE" w:rsidR="001306B9" w:rsidRPr="0057416B" w:rsidRDefault="006E3379" w:rsidP="006E3379">
      <w:pPr>
        <w:pStyle w:val="a8"/>
        <w:ind w:leftChars="100" w:left="210"/>
        <w:rPr>
          <w:rFonts w:asciiTheme="minorHAnsi" w:hAnsiTheme="minorHAnsi" w:cstheme="majorHAnsi"/>
        </w:rPr>
      </w:pPr>
      <w:r w:rsidRPr="0057416B">
        <w:rPr>
          <w:rFonts w:asciiTheme="minorHAnsi" w:hAnsiTheme="minorHAnsi" w:cstheme="majorHAnsi"/>
          <w:color w:val="000000"/>
          <w:sz w:val="23"/>
          <w:szCs w:val="23"/>
        </w:rPr>
        <w:t>Contact person:</w:t>
      </w:r>
      <w:r w:rsidRPr="0057416B">
        <w:rPr>
          <w:rFonts w:asciiTheme="minorHAnsi" w:hAnsiTheme="minorHAnsi" w:cstheme="majorHAnsi"/>
        </w:rPr>
        <w:t xml:space="preserve"> </w:t>
      </w:r>
      <w:r w:rsidRPr="0057416B">
        <w:rPr>
          <w:rFonts w:asciiTheme="minorHAnsi" w:hAnsiTheme="minorHAnsi" w:cstheme="majorHAnsi"/>
        </w:rPr>
        <w:t>Prof. Tadanori Inomata</w:t>
      </w:r>
      <w:r w:rsidR="000B68CD">
        <w:rPr>
          <w:rFonts w:asciiTheme="minorHAnsi" w:hAnsiTheme="minorHAnsi" w:cstheme="majorHAnsi"/>
        </w:rPr>
        <w:t>,</w:t>
      </w:r>
      <w:r w:rsidRPr="0057416B">
        <w:rPr>
          <w:rFonts w:asciiTheme="minorHAnsi" w:hAnsiTheme="minorHAnsi" w:cstheme="majorHAnsi"/>
        </w:rPr>
        <w:t xml:space="preserve"> Strategic Advisor for CICORN_Nagasaki University;</w:t>
      </w:r>
      <w:hyperlink r:id="rId8" w:history="1">
        <w:r w:rsidRPr="0057416B">
          <w:rPr>
            <w:rStyle w:val="a3"/>
            <w:rFonts w:asciiTheme="minorHAnsi" w:hAnsiTheme="minorHAnsi" w:cstheme="majorHAnsi"/>
          </w:rPr>
          <w:t xml:space="preserve"> E-mail: tadinomata@aol.com</w:t>
        </w:r>
      </w:hyperlink>
    </w:p>
    <w:p w14:paraId="37565F8B" w14:textId="079C25CD" w:rsidR="00533B9D" w:rsidRDefault="00533B9D" w:rsidP="00533B9D">
      <w:pPr>
        <w:pStyle w:val="a8"/>
        <w:jc w:val="center"/>
      </w:pPr>
      <w:r>
        <w:t>May 2017</w:t>
      </w:r>
    </w:p>
    <w:p w14:paraId="54965F0F" w14:textId="77777777" w:rsidR="001306B9" w:rsidRDefault="001306B9"/>
    <w:p w14:paraId="53A1B492" w14:textId="77777777" w:rsidR="00E154A1" w:rsidRDefault="00E154A1"/>
    <w:p w14:paraId="7D992F49" w14:textId="77777777" w:rsidR="00AB1D57" w:rsidRPr="005313DF" w:rsidRDefault="00EC7545" w:rsidP="00AB1D57">
      <w:pPr>
        <w:autoSpaceDE w:val="0"/>
        <w:autoSpaceDN w:val="0"/>
        <w:adjustRightInd w:val="0"/>
        <w:rPr>
          <w:rStyle w:val="apple-converted-space"/>
          <w:rFonts w:ascii="Calibri" w:hAnsi="Calibri" w:cs="Calibri"/>
          <w:b/>
          <w:color w:val="000000"/>
          <w:shd w:val="clear" w:color="auto" w:fill="FFFFFF"/>
          <w:lang w:val="en-GB"/>
        </w:rPr>
      </w:pPr>
      <w:r>
        <w:rPr>
          <w:rStyle w:val="apple-converted-space"/>
          <w:rFonts w:ascii="Calibri" w:hAnsi="Calibri" w:cs="Calibri"/>
          <w:b/>
          <w:color w:val="000000"/>
          <w:shd w:val="clear" w:color="auto" w:fill="FFFFFF"/>
          <w:lang w:val="en-GB"/>
        </w:rPr>
        <w:t xml:space="preserve">Six years after </w:t>
      </w:r>
      <w:r w:rsidR="00AB1D57" w:rsidRPr="005313DF">
        <w:rPr>
          <w:rStyle w:val="apple-converted-space"/>
          <w:rFonts w:ascii="Calibri" w:hAnsi="Calibri" w:cs="Calibri"/>
          <w:b/>
          <w:color w:val="000000"/>
          <w:shd w:val="clear" w:color="auto" w:fill="FFFFFF"/>
          <w:lang w:val="en-GB"/>
        </w:rPr>
        <w:t xml:space="preserve">Fukushima Daiichi Nuclear Disaster </w:t>
      </w:r>
    </w:p>
    <w:p w14:paraId="78B7F316" w14:textId="4336EC2E" w:rsidR="00397354" w:rsidRDefault="001E40DB" w:rsidP="00776833">
      <w:pPr>
        <w:ind w:firstLine="735"/>
        <w:rPr>
          <w:rStyle w:val="apple-converted-space"/>
          <w:rFonts w:ascii="Calibri" w:hAnsi="Calibri" w:cs="Calibri"/>
          <w:color w:val="000000"/>
          <w:shd w:val="clear" w:color="auto" w:fill="FFFFFF"/>
        </w:rPr>
      </w:pPr>
      <w:r>
        <w:rPr>
          <w:rStyle w:val="apple-converted-space"/>
          <w:rFonts w:ascii="Calibri" w:hAnsi="Calibri" w:cs="Calibri"/>
          <w:color w:val="000000"/>
          <w:shd w:val="clear" w:color="auto" w:fill="FFFFFF"/>
          <w:lang w:val="en-GB"/>
        </w:rPr>
        <w:t>O</w:t>
      </w:r>
      <w:r w:rsidRPr="00170DF3">
        <w:rPr>
          <w:rStyle w:val="apple-converted-space"/>
          <w:rFonts w:ascii="Calibri" w:hAnsi="Calibri" w:cs="Calibri"/>
          <w:color w:val="000000"/>
          <w:shd w:val="clear" w:color="auto" w:fill="FFFFFF"/>
        </w:rPr>
        <w:t>n 11 March 2011</w:t>
      </w:r>
      <w:r>
        <w:rPr>
          <w:rStyle w:val="apple-converted-space"/>
          <w:rFonts w:ascii="Calibri" w:hAnsi="Calibri" w:cs="Calibri"/>
          <w:color w:val="000000"/>
          <w:shd w:val="clear" w:color="auto" w:fill="FFFFFF"/>
        </w:rPr>
        <w:t>, t</w:t>
      </w:r>
      <w:r w:rsidR="00AB1D57" w:rsidRPr="00170DF3">
        <w:rPr>
          <w:rStyle w:val="apple-converted-space"/>
          <w:rFonts w:ascii="Calibri" w:hAnsi="Calibri" w:cs="Calibri"/>
          <w:color w:val="000000"/>
          <w:shd w:val="clear" w:color="auto" w:fill="FFFFFF"/>
        </w:rPr>
        <w:t xml:space="preserve">he Great East Japan Earthquake and Tsunami of 2011, a magnitude 9.0 earthquake </w:t>
      </w:r>
      <w:r w:rsidRPr="00170DF3">
        <w:rPr>
          <w:rStyle w:val="apple-converted-space"/>
          <w:rFonts w:ascii="Calibri" w:hAnsi="Calibri" w:cs="Calibri"/>
          <w:color w:val="000000"/>
          <w:shd w:val="clear" w:color="auto" w:fill="FFFFFF"/>
        </w:rPr>
        <w:t xml:space="preserve">occurred </w:t>
      </w:r>
      <w:r w:rsidR="00AB1D57" w:rsidRPr="00170DF3">
        <w:rPr>
          <w:rStyle w:val="apple-converted-space"/>
          <w:rFonts w:ascii="Calibri" w:hAnsi="Calibri" w:cs="Calibri"/>
          <w:color w:val="000000"/>
          <w:shd w:val="clear" w:color="auto" w:fill="FFFFFF"/>
        </w:rPr>
        <w:t xml:space="preserve">with a </w:t>
      </w:r>
      <w:r>
        <w:rPr>
          <w:rStyle w:val="apple-converted-space"/>
          <w:rFonts w:ascii="Calibri" w:hAnsi="Calibri" w:cs="Calibri"/>
          <w:color w:val="000000"/>
          <w:shd w:val="clear" w:color="auto" w:fill="FFFFFF"/>
        </w:rPr>
        <w:t xml:space="preserve">resulting </w:t>
      </w:r>
      <w:r w:rsidR="00AB1D57" w:rsidRPr="00170DF3">
        <w:rPr>
          <w:rStyle w:val="apple-converted-space"/>
          <w:rFonts w:ascii="Calibri" w:hAnsi="Calibri" w:cs="Calibri"/>
          <w:color w:val="000000"/>
          <w:shd w:val="clear" w:color="auto" w:fill="FFFFFF"/>
        </w:rPr>
        <w:t>14-m or more tsunami</w:t>
      </w:r>
      <w:r>
        <w:rPr>
          <w:rStyle w:val="apple-converted-space"/>
          <w:rFonts w:ascii="Calibri" w:hAnsi="Calibri" w:cs="Calibri"/>
          <w:color w:val="000000"/>
          <w:shd w:val="clear" w:color="auto" w:fill="FFFFFF"/>
        </w:rPr>
        <w:t xml:space="preserve">. </w:t>
      </w:r>
      <w:r w:rsidR="00AB1D57" w:rsidRPr="00170DF3">
        <w:rPr>
          <w:rStyle w:val="apple-converted-space"/>
          <w:rFonts w:ascii="Calibri" w:hAnsi="Calibri" w:cs="Calibri"/>
          <w:color w:val="000000"/>
          <w:shd w:val="clear" w:color="auto" w:fill="FFFFFF"/>
        </w:rPr>
        <w:t xml:space="preserve">This disaster </w:t>
      </w:r>
      <w:r w:rsidR="008B6997">
        <w:rPr>
          <w:rStyle w:val="apple-converted-space"/>
          <w:rFonts w:ascii="Calibri" w:hAnsi="Calibri" w:cs="Calibri"/>
          <w:color w:val="000000"/>
          <w:shd w:val="clear" w:color="auto" w:fill="FFFFFF"/>
        </w:rPr>
        <w:t>left nearly 1</w:t>
      </w:r>
      <w:r w:rsidR="00772812">
        <w:rPr>
          <w:rStyle w:val="apple-converted-space"/>
          <w:rFonts w:ascii="Calibri" w:hAnsi="Calibri" w:cs="Calibri"/>
          <w:color w:val="000000"/>
          <w:shd w:val="clear" w:color="auto" w:fill="FFFFFF"/>
        </w:rPr>
        <w:t>9</w:t>
      </w:r>
      <w:r w:rsidR="008B6997">
        <w:rPr>
          <w:rStyle w:val="apple-converted-space"/>
          <w:rFonts w:ascii="Calibri" w:hAnsi="Calibri" w:cs="Calibri"/>
          <w:color w:val="000000"/>
          <w:shd w:val="clear" w:color="auto" w:fill="FFFFFF"/>
        </w:rPr>
        <w:t>,</w:t>
      </w:r>
      <w:r w:rsidR="00772812">
        <w:rPr>
          <w:rStyle w:val="apple-converted-space"/>
          <w:rFonts w:ascii="Calibri" w:hAnsi="Calibri" w:cs="Calibri"/>
          <w:color w:val="000000"/>
          <w:shd w:val="clear" w:color="auto" w:fill="FFFFFF"/>
        </w:rPr>
        <w:t>5</w:t>
      </w:r>
      <w:r w:rsidR="008B6997">
        <w:rPr>
          <w:rStyle w:val="apple-converted-space"/>
          <w:rFonts w:ascii="Calibri" w:hAnsi="Calibri" w:cs="Calibri"/>
          <w:color w:val="000000"/>
          <w:shd w:val="clear" w:color="auto" w:fill="FFFFFF"/>
        </w:rPr>
        <w:t xml:space="preserve">00 people dead and </w:t>
      </w:r>
      <w:r w:rsidRPr="001E40DB">
        <w:rPr>
          <w:rStyle w:val="apple-converted-space"/>
          <w:rFonts w:ascii="Calibri" w:hAnsi="Calibri" w:cs="Calibri"/>
          <w:color w:val="000000"/>
          <w:shd w:val="clear" w:color="auto" w:fill="FFFFFF"/>
        </w:rPr>
        <w:t xml:space="preserve">more than </w:t>
      </w:r>
      <w:r w:rsidR="008B6997">
        <w:rPr>
          <w:rStyle w:val="apple-converted-space"/>
          <w:rFonts w:ascii="Calibri" w:hAnsi="Calibri" w:cs="Calibri"/>
          <w:color w:val="000000"/>
          <w:shd w:val="clear" w:color="auto" w:fill="FFFFFF"/>
        </w:rPr>
        <w:t>2</w:t>
      </w:r>
      <w:r w:rsidRPr="001E40DB">
        <w:rPr>
          <w:rStyle w:val="apple-converted-space"/>
          <w:rFonts w:ascii="Calibri" w:hAnsi="Calibri" w:cs="Calibri"/>
          <w:color w:val="000000"/>
          <w:shd w:val="clear" w:color="auto" w:fill="FFFFFF"/>
        </w:rPr>
        <w:t>,</w:t>
      </w:r>
      <w:r w:rsidR="008B6997">
        <w:rPr>
          <w:rStyle w:val="apple-converted-space"/>
          <w:rFonts w:ascii="Calibri" w:hAnsi="Calibri" w:cs="Calibri"/>
          <w:color w:val="000000"/>
          <w:shd w:val="clear" w:color="auto" w:fill="FFFFFF"/>
        </w:rPr>
        <w:t>5</w:t>
      </w:r>
      <w:r w:rsidRPr="001E40DB">
        <w:rPr>
          <w:rStyle w:val="apple-converted-space"/>
          <w:rFonts w:ascii="Calibri" w:hAnsi="Calibri" w:cs="Calibri"/>
          <w:color w:val="000000"/>
          <w:shd w:val="clear" w:color="auto" w:fill="FFFFFF"/>
        </w:rPr>
        <w:t>00</w:t>
      </w:r>
      <w:r w:rsidR="008B6997">
        <w:rPr>
          <w:rStyle w:val="apple-converted-space"/>
          <w:rFonts w:ascii="Calibri" w:hAnsi="Calibri" w:cs="Calibri"/>
          <w:color w:val="000000"/>
          <w:shd w:val="clear" w:color="auto" w:fill="FFFFFF"/>
        </w:rPr>
        <w:t xml:space="preserve"> people missing</w:t>
      </w:r>
      <w:r w:rsidR="000572EF">
        <w:rPr>
          <w:rStyle w:val="aa"/>
          <w:rFonts w:ascii="Calibri" w:hAnsi="Calibri" w:cs="Calibri"/>
          <w:color w:val="000000"/>
          <w:shd w:val="clear" w:color="auto" w:fill="FFFFFF"/>
        </w:rPr>
        <w:footnoteReference w:id="2"/>
      </w:r>
      <w:r w:rsidR="008B6997">
        <w:rPr>
          <w:rStyle w:val="apple-converted-space"/>
          <w:rFonts w:ascii="Calibri" w:hAnsi="Calibri" w:cs="Calibri"/>
          <w:color w:val="000000"/>
          <w:shd w:val="clear" w:color="auto" w:fill="FFFFFF"/>
        </w:rPr>
        <w:t xml:space="preserve">. </w:t>
      </w:r>
      <w:r w:rsidR="00DB2AD9">
        <w:rPr>
          <w:rStyle w:val="apple-converted-space"/>
          <w:rFonts w:ascii="Calibri" w:hAnsi="Calibri" w:cs="Calibri"/>
          <w:color w:val="000000"/>
          <w:shd w:val="clear" w:color="auto" w:fill="FFFFFF"/>
        </w:rPr>
        <w:t>On 13 March 2011, about 4</w:t>
      </w:r>
      <w:r w:rsidR="00B050E7">
        <w:rPr>
          <w:rStyle w:val="apple-converted-space"/>
          <w:rFonts w:ascii="Calibri" w:hAnsi="Calibri" w:cs="Calibri"/>
          <w:color w:val="000000"/>
          <w:shd w:val="clear" w:color="auto" w:fill="FFFFFF"/>
        </w:rPr>
        <w:t>70</w:t>
      </w:r>
      <w:r w:rsidR="00DB2AD9">
        <w:rPr>
          <w:rStyle w:val="apple-converted-space"/>
          <w:rFonts w:ascii="Calibri" w:hAnsi="Calibri" w:cs="Calibri"/>
          <w:color w:val="000000"/>
          <w:shd w:val="clear" w:color="auto" w:fill="FFFFFF"/>
        </w:rPr>
        <w:t>,000</w:t>
      </w:r>
      <w:r w:rsidR="00463085">
        <w:rPr>
          <w:rStyle w:val="aa"/>
          <w:rFonts w:ascii="Calibri" w:hAnsi="Calibri" w:cs="Calibri"/>
          <w:color w:val="000000"/>
          <w:shd w:val="clear" w:color="auto" w:fill="FFFFFF"/>
        </w:rPr>
        <w:footnoteReference w:id="3"/>
      </w:r>
      <w:r w:rsidR="00DB2AD9">
        <w:rPr>
          <w:rStyle w:val="apple-converted-space"/>
          <w:rFonts w:ascii="Calibri" w:hAnsi="Calibri" w:cs="Calibri"/>
          <w:color w:val="000000"/>
          <w:shd w:val="clear" w:color="auto" w:fill="FFFFFF"/>
        </w:rPr>
        <w:t xml:space="preserve"> people were evacuated</w:t>
      </w:r>
      <w:r w:rsidR="00254FE6">
        <w:rPr>
          <w:rStyle w:val="apple-converted-space"/>
          <w:rFonts w:ascii="Calibri" w:hAnsi="Calibri" w:cs="Calibri"/>
          <w:color w:val="000000"/>
          <w:shd w:val="clear" w:color="auto" w:fill="FFFFFF"/>
        </w:rPr>
        <w:t xml:space="preserve">. </w:t>
      </w:r>
      <w:r w:rsidR="005C7936" w:rsidRPr="005C7936">
        <w:rPr>
          <w:rStyle w:val="apple-converted-space"/>
          <w:rFonts w:ascii="Calibri" w:hAnsi="Calibri" w:cs="Calibri"/>
          <w:color w:val="000000"/>
          <w:shd w:val="clear" w:color="auto" w:fill="FFFFFF"/>
        </w:rPr>
        <w:t>As of 13 April 2017</w:t>
      </w:r>
      <w:r w:rsidR="005C7936">
        <w:rPr>
          <w:rStyle w:val="apple-converted-space"/>
          <w:rFonts w:ascii="Calibri" w:hAnsi="Calibri" w:cs="Calibri"/>
          <w:color w:val="000000"/>
          <w:shd w:val="clear" w:color="auto" w:fill="FFFFFF"/>
        </w:rPr>
        <w:t>,t</w:t>
      </w:r>
      <w:r w:rsidR="00254FE6">
        <w:rPr>
          <w:rStyle w:val="apple-converted-space"/>
          <w:rFonts w:ascii="Calibri" w:hAnsi="Calibri" w:cs="Calibri"/>
          <w:color w:val="000000"/>
          <w:shd w:val="clear" w:color="auto" w:fill="FFFFFF"/>
        </w:rPr>
        <w:t xml:space="preserve">here are </w:t>
      </w:r>
      <w:r w:rsidR="00DB2AD9">
        <w:rPr>
          <w:rStyle w:val="apple-converted-space"/>
          <w:rFonts w:ascii="Calibri" w:hAnsi="Calibri" w:cs="Calibri"/>
          <w:color w:val="000000"/>
          <w:shd w:val="clear" w:color="auto" w:fill="FFFFFF"/>
        </w:rPr>
        <w:t>still 1</w:t>
      </w:r>
      <w:r w:rsidR="00C519A7">
        <w:rPr>
          <w:rStyle w:val="apple-converted-space"/>
          <w:rFonts w:ascii="Calibri" w:hAnsi="Calibri" w:cs="Calibri"/>
          <w:color w:val="000000"/>
          <w:shd w:val="clear" w:color="auto" w:fill="FFFFFF"/>
        </w:rPr>
        <w:t>08,000</w:t>
      </w:r>
      <w:r w:rsidR="00DB2AD9">
        <w:rPr>
          <w:rStyle w:val="apple-converted-space"/>
          <w:rFonts w:ascii="Calibri" w:hAnsi="Calibri" w:cs="Calibri"/>
          <w:color w:val="000000"/>
          <w:shd w:val="clear" w:color="auto" w:fill="FFFFFF"/>
        </w:rPr>
        <w:t xml:space="preserve"> of them </w:t>
      </w:r>
      <w:r w:rsidR="006E0D13">
        <w:rPr>
          <w:rStyle w:val="apple-converted-space"/>
          <w:rFonts w:ascii="Calibri" w:hAnsi="Calibri" w:cs="Calibri" w:hint="eastAsia"/>
          <w:color w:val="000000"/>
          <w:shd w:val="clear" w:color="auto" w:fill="FFFFFF"/>
        </w:rPr>
        <w:t xml:space="preserve">have </w:t>
      </w:r>
      <w:r w:rsidR="006E0D13">
        <w:rPr>
          <w:rStyle w:val="apple-converted-space"/>
          <w:rFonts w:ascii="Calibri" w:hAnsi="Calibri" w:cs="Calibri"/>
          <w:color w:val="000000"/>
          <w:shd w:val="clear" w:color="auto" w:fill="FFFFFF"/>
        </w:rPr>
        <w:t xml:space="preserve">no choice but </w:t>
      </w:r>
      <w:r w:rsidR="00B050E7">
        <w:rPr>
          <w:rStyle w:val="apple-converted-space"/>
          <w:rFonts w:ascii="Calibri" w:hAnsi="Calibri" w:cs="Calibri"/>
          <w:color w:val="000000"/>
          <w:shd w:val="clear" w:color="auto" w:fill="FFFFFF"/>
        </w:rPr>
        <w:t xml:space="preserve">to live </w:t>
      </w:r>
      <w:r w:rsidR="00DB2AD9">
        <w:rPr>
          <w:rStyle w:val="apple-converted-space"/>
          <w:rFonts w:ascii="Calibri" w:hAnsi="Calibri" w:cs="Calibri"/>
          <w:color w:val="000000"/>
          <w:shd w:val="clear" w:color="auto" w:fill="FFFFFF"/>
        </w:rPr>
        <w:t xml:space="preserve">at temporary </w:t>
      </w:r>
      <w:bookmarkStart w:id="0" w:name="_GoBack"/>
      <w:bookmarkEnd w:id="0"/>
      <w:r w:rsidR="00DB2AD9">
        <w:rPr>
          <w:rStyle w:val="apple-converted-space"/>
          <w:rFonts w:ascii="Calibri" w:hAnsi="Calibri" w:cs="Calibri"/>
          <w:color w:val="000000"/>
          <w:shd w:val="clear" w:color="auto" w:fill="FFFFFF"/>
        </w:rPr>
        <w:t>locations</w:t>
      </w:r>
      <w:r w:rsidR="00FA4D50">
        <w:rPr>
          <w:rStyle w:val="aa"/>
          <w:rFonts w:ascii="Calibri" w:hAnsi="Calibri" w:cs="Calibri"/>
          <w:color w:val="000000"/>
          <w:shd w:val="clear" w:color="auto" w:fill="FFFFFF"/>
        </w:rPr>
        <w:footnoteReference w:id="4"/>
      </w:r>
      <w:r w:rsidR="00DB2AD9">
        <w:rPr>
          <w:rStyle w:val="apple-converted-space"/>
          <w:rFonts w:ascii="Calibri" w:hAnsi="Calibri" w:cs="Calibri"/>
          <w:color w:val="000000"/>
          <w:shd w:val="clear" w:color="auto" w:fill="FFFFFF"/>
        </w:rPr>
        <w:t>.</w:t>
      </w:r>
    </w:p>
    <w:p w14:paraId="3C091A59" w14:textId="5FD1B5FD" w:rsidR="005739FC" w:rsidRDefault="00DB2AD9" w:rsidP="00776833">
      <w:pPr>
        <w:ind w:firstLine="735"/>
        <w:rPr>
          <w:rStyle w:val="apple-converted-space"/>
          <w:rFonts w:ascii="Calibri" w:hAnsi="Calibri" w:cs="Calibri"/>
          <w:color w:val="000000"/>
          <w:shd w:val="clear" w:color="auto" w:fill="FFFFFF"/>
        </w:rPr>
      </w:pPr>
      <w:r>
        <w:rPr>
          <w:rStyle w:val="apple-converted-space"/>
          <w:rFonts w:ascii="Calibri" w:hAnsi="Calibri" w:cs="Calibri"/>
          <w:color w:val="000000"/>
          <w:shd w:val="clear" w:color="auto" w:fill="FFFFFF"/>
        </w:rPr>
        <w:lastRenderedPageBreak/>
        <w:t xml:space="preserve"> </w:t>
      </w:r>
    </w:p>
    <w:p w14:paraId="444492F6" w14:textId="77777777" w:rsidR="00BE4108" w:rsidRDefault="005739FC" w:rsidP="00444BA3">
      <w:pPr>
        <w:ind w:firstLine="735"/>
      </w:pPr>
      <w:r w:rsidRPr="005739FC">
        <w:rPr>
          <w:rStyle w:val="apple-converted-space"/>
          <w:rFonts w:ascii="Calibri" w:hAnsi="Calibri" w:cs="Calibri"/>
          <w:color w:val="000000"/>
          <w:shd w:val="clear" w:color="auto" w:fill="FFFFFF"/>
        </w:rPr>
        <w:t>The Great East Japan Earthquake and Tsunami severely damaged the Fukushima Daiichi Nuclear Power Plant 1 owned and operated by the Tokyo Electric Power Company (TEPCO), resulting in a large release of radioactivity into the environment.</w:t>
      </w:r>
      <w:r w:rsidR="00AB759B">
        <w:rPr>
          <w:rStyle w:val="apple-converted-space"/>
          <w:rFonts w:ascii="Calibri" w:hAnsi="Calibri" w:cs="Calibri" w:hint="eastAsia"/>
          <w:color w:val="000000"/>
          <w:shd w:val="clear" w:color="auto" w:fill="FFFFFF"/>
        </w:rPr>
        <w:t xml:space="preserve"> </w:t>
      </w:r>
      <w:r w:rsidR="00444BA3">
        <w:rPr>
          <w:rStyle w:val="apple-converted-space"/>
          <w:rFonts w:ascii="Calibri" w:hAnsi="Calibri" w:cs="Calibri"/>
          <w:color w:val="000000"/>
          <w:shd w:val="clear" w:color="auto" w:fill="FFFFFF"/>
        </w:rPr>
        <w:t>It i</w:t>
      </w:r>
      <w:r w:rsidR="00444BA3" w:rsidRPr="00AB759B">
        <w:rPr>
          <w:rStyle w:val="apple-converted-space"/>
          <w:rFonts w:ascii="Calibri" w:hAnsi="Calibri" w:cs="Calibri"/>
          <w:color w:val="000000"/>
          <w:shd w:val="clear" w:color="auto" w:fill="FFFFFF"/>
        </w:rPr>
        <w:t>nduc</w:t>
      </w:r>
      <w:r w:rsidR="00444BA3">
        <w:rPr>
          <w:rStyle w:val="apple-converted-space"/>
          <w:rFonts w:ascii="Calibri" w:hAnsi="Calibri" w:cs="Calibri"/>
          <w:color w:val="000000"/>
          <w:shd w:val="clear" w:color="auto" w:fill="FFFFFF"/>
        </w:rPr>
        <w:t xml:space="preserve">ed multi-hazard disasters </w:t>
      </w:r>
      <w:r w:rsidR="00444BA3" w:rsidRPr="00AB759B">
        <w:rPr>
          <w:rStyle w:val="apple-converted-space"/>
          <w:rFonts w:ascii="Calibri" w:hAnsi="Calibri" w:cs="Calibri"/>
          <w:color w:val="000000"/>
          <w:shd w:val="clear" w:color="auto" w:fill="FFFFFF"/>
        </w:rPr>
        <w:t>on human livelihood and ecosystem in the affected area</w:t>
      </w:r>
      <w:r w:rsidR="00444BA3">
        <w:rPr>
          <w:rStyle w:val="apple-converted-space"/>
          <w:rFonts w:ascii="Calibri" w:hAnsi="Calibri" w:cs="Calibri"/>
          <w:color w:val="000000"/>
          <w:shd w:val="clear" w:color="auto" w:fill="FFFFFF"/>
        </w:rPr>
        <w:t xml:space="preserve"> in the Fukushima Prefecture. </w:t>
      </w:r>
      <w:r w:rsidR="00AB759B" w:rsidRPr="00006CA2">
        <w:rPr>
          <w:rFonts w:ascii="Calibri" w:eastAsia="PMingLiU" w:hAnsi="Calibri" w:cs="Times New Roman"/>
          <w:color w:val="5B9BD5" w:themeColor="accent1"/>
          <w:lang w:eastAsia="zh-TW"/>
        </w:rPr>
        <w:t>Approximately 165,000</w:t>
      </w:r>
      <w:r w:rsidR="00AB759B" w:rsidRPr="00006CA2">
        <w:rPr>
          <w:rStyle w:val="aa"/>
          <w:rFonts w:ascii="Calibri" w:eastAsia="PMingLiU" w:hAnsi="Calibri" w:cs="Times New Roman"/>
          <w:color w:val="5B9BD5" w:themeColor="accent1"/>
          <w:lang w:eastAsia="zh-TW"/>
        </w:rPr>
        <w:footnoteReference w:id="5"/>
      </w:r>
      <w:r w:rsidR="00AB759B" w:rsidRPr="00006CA2">
        <w:rPr>
          <w:rFonts w:ascii="Calibri" w:eastAsia="PMingLiU" w:hAnsi="Calibri" w:cs="Times New Roman"/>
          <w:color w:val="5B9BD5" w:themeColor="accent1"/>
          <w:lang w:eastAsia="zh-TW"/>
        </w:rPr>
        <w:t xml:space="preserve"> people in the prefecture were evacuated in response to the radiological incident.</w:t>
      </w:r>
      <w:r w:rsidR="00EF1BE4">
        <w:rPr>
          <w:rFonts w:ascii="Calibri" w:eastAsia="PMingLiU" w:hAnsi="Calibri" w:cs="Times New Roman"/>
          <w:color w:val="5B9BD5" w:themeColor="accent1"/>
          <w:lang w:eastAsia="zh-TW"/>
        </w:rPr>
        <w:t xml:space="preserve"> </w:t>
      </w:r>
      <w:r w:rsidR="00BE4108" w:rsidRPr="00BE4108">
        <w:rPr>
          <w:rFonts w:ascii="Calibri" w:eastAsia="PMingLiU" w:hAnsi="Calibri" w:cs="Times New Roman"/>
          <w:color w:val="5B9BD5" w:themeColor="accent1"/>
          <w:lang w:eastAsia="zh-TW"/>
        </w:rPr>
        <w:t>Some elderly hospital patients died during their transportation.</w:t>
      </w:r>
      <w:r w:rsidR="00BE4108">
        <w:rPr>
          <w:rFonts w:ascii="Calibri" w:eastAsia="PMingLiU" w:hAnsi="Calibri" w:cs="Times New Roman"/>
          <w:color w:val="5B9BD5" w:themeColor="accent1"/>
          <w:lang w:eastAsia="zh-TW"/>
        </w:rPr>
        <w:t xml:space="preserve"> </w:t>
      </w:r>
      <w:r w:rsidR="00EF1BE4">
        <w:rPr>
          <w:rFonts w:ascii="Calibri" w:eastAsia="PMingLiU" w:hAnsi="Calibri" w:cs="Times New Roman"/>
          <w:color w:val="5B9BD5" w:themeColor="accent1"/>
          <w:lang w:eastAsia="zh-TW"/>
        </w:rPr>
        <w:t xml:space="preserve">There were </w:t>
      </w:r>
      <w:r w:rsidR="003637E2">
        <w:rPr>
          <w:rFonts w:ascii="Calibri" w:eastAsia="PMingLiU" w:hAnsi="Calibri" w:cs="Times New Roman"/>
          <w:color w:val="5B9BD5" w:themeColor="accent1"/>
          <w:lang w:eastAsia="zh-TW"/>
        </w:rPr>
        <w:t xml:space="preserve">some 2,086 </w:t>
      </w:r>
      <w:r w:rsidR="00444BA3" w:rsidRPr="00444BA3">
        <w:rPr>
          <w:rFonts w:ascii="Calibri" w:eastAsia="PMingLiU" w:hAnsi="Calibri" w:cs="Times New Roman"/>
          <w:color w:val="5B9BD5" w:themeColor="accent1"/>
          <w:lang w:eastAsia="zh-TW"/>
        </w:rPr>
        <w:t>disaster-related deaths</w:t>
      </w:r>
      <w:r w:rsidR="00EF1BE4">
        <w:rPr>
          <w:rFonts w:ascii="Calibri" w:eastAsia="PMingLiU" w:hAnsi="Calibri" w:cs="Times New Roman"/>
          <w:color w:val="5B9BD5" w:themeColor="accent1"/>
          <w:lang w:eastAsia="zh-TW"/>
        </w:rPr>
        <w:t xml:space="preserve"> in Fukushima accounting for nearly 60 per cent of such </w:t>
      </w:r>
      <w:r w:rsidR="003637E2">
        <w:rPr>
          <w:rFonts w:ascii="Calibri" w:eastAsia="PMingLiU" w:hAnsi="Calibri" w:cs="Times New Roman"/>
          <w:color w:val="5B9BD5" w:themeColor="accent1"/>
          <w:lang w:eastAsia="zh-TW"/>
        </w:rPr>
        <w:t>3,523 deaths</w:t>
      </w:r>
      <w:r w:rsidR="003637E2">
        <w:rPr>
          <w:rStyle w:val="aa"/>
          <w:rFonts w:ascii="Calibri" w:eastAsia="PMingLiU" w:hAnsi="Calibri" w:cs="Times New Roman"/>
          <w:color w:val="5B9BD5" w:themeColor="accent1"/>
          <w:lang w:eastAsia="zh-TW"/>
        </w:rPr>
        <w:footnoteReference w:id="6"/>
      </w:r>
      <w:r w:rsidR="00EF1BE4">
        <w:rPr>
          <w:rFonts w:ascii="Calibri" w:eastAsia="PMingLiU" w:hAnsi="Calibri" w:cs="Times New Roman"/>
          <w:color w:val="5B9BD5" w:themeColor="accent1"/>
          <w:lang w:eastAsia="zh-TW"/>
        </w:rPr>
        <w:t xml:space="preserve"> in all prefectures affected by the </w:t>
      </w:r>
      <w:r w:rsidR="00EF1BE4" w:rsidRPr="00EF1BE4">
        <w:rPr>
          <w:rFonts w:ascii="Calibri" w:eastAsia="PMingLiU" w:hAnsi="Calibri" w:cs="Times New Roman"/>
          <w:color w:val="5B9BD5" w:themeColor="accent1"/>
          <w:lang w:eastAsia="zh-TW"/>
        </w:rPr>
        <w:t>Great East Japan Earthquake and Tsunami</w:t>
      </w:r>
      <w:r w:rsidR="003637E2">
        <w:rPr>
          <w:rFonts w:ascii="Calibri" w:eastAsia="PMingLiU" w:hAnsi="Calibri" w:cs="Times New Roman"/>
          <w:color w:val="5B9BD5" w:themeColor="accent1"/>
          <w:lang w:eastAsia="zh-TW"/>
        </w:rPr>
        <w:t xml:space="preserve">, which are defined </w:t>
      </w:r>
      <w:r w:rsidR="00444BA3" w:rsidRPr="00444BA3">
        <w:rPr>
          <w:rFonts w:ascii="Calibri" w:eastAsia="PMingLiU" w:hAnsi="Calibri" w:cs="Times New Roman"/>
          <w:color w:val="5B9BD5" w:themeColor="accent1"/>
          <w:lang w:eastAsia="zh-TW"/>
        </w:rPr>
        <w:t>deaths that were not caused directly by the earthquake and tsunami but were due to indirect causes such as deterioration of physical conditions as a result of evacuation</w:t>
      </w:r>
      <w:r w:rsidR="00444BA3">
        <w:rPr>
          <w:rFonts w:ascii="Calibri" w:eastAsia="PMingLiU" w:hAnsi="Calibri" w:cs="Times New Roman"/>
          <w:color w:val="5B9BD5" w:themeColor="accent1"/>
          <w:lang w:eastAsia="zh-TW"/>
        </w:rPr>
        <w:t>.</w:t>
      </w:r>
      <w:r w:rsidR="00EF1BE4">
        <w:rPr>
          <w:rFonts w:ascii="Calibri" w:eastAsia="PMingLiU" w:hAnsi="Calibri" w:cs="Times New Roman"/>
          <w:color w:val="5B9BD5" w:themeColor="accent1"/>
          <w:lang w:eastAsia="zh-TW"/>
        </w:rPr>
        <w:t xml:space="preserve"> </w:t>
      </w:r>
      <w:r w:rsidR="00BE4108" w:rsidRPr="00BE4108">
        <w:rPr>
          <w:rFonts w:ascii="Calibri" w:eastAsia="PMingLiU" w:hAnsi="Calibri" w:cs="Times New Roman"/>
          <w:color w:val="5B9BD5" w:themeColor="accent1"/>
          <w:lang w:eastAsia="zh-TW"/>
        </w:rPr>
        <w:t>The number of those deaths was particularly high among people who evacuated from cities and towns within evacuation zones.</w:t>
      </w:r>
      <w:r w:rsidR="00BE4108" w:rsidRPr="00BE4108">
        <w:t xml:space="preserve"> </w:t>
      </w:r>
    </w:p>
    <w:p w14:paraId="350BEB83" w14:textId="77777777" w:rsidR="0074585B" w:rsidRDefault="004F3B65" w:rsidP="0074585B">
      <w:pPr>
        <w:autoSpaceDE w:val="0"/>
        <w:autoSpaceDN w:val="0"/>
        <w:adjustRightInd w:val="0"/>
        <w:ind w:firstLineChars="400" w:firstLine="840"/>
        <w:rPr>
          <w:rFonts w:ascii="Calibri" w:eastAsia="PMingLiU" w:hAnsi="Calibri" w:cs="Times New Roman"/>
          <w:color w:val="5B9BD5" w:themeColor="accent1"/>
          <w:lang w:eastAsia="zh-TW"/>
        </w:rPr>
      </w:pPr>
      <w:r w:rsidRPr="00006CA2">
        <w:rPr>
          <w:rFonts w:ascii="Calibri" w:eastAsia="PMingLiU" w:hAnsi="Calibri" w:cs="Times New Roman"/>
          <w:color w:val="5B9BD5" w:themeColor="accent1"/>
          <w:lang w:eastAsia="zh-TW"/>
        </w:rPr>
        <w:t>The population in the Fukushima prefecture decreased from 2,024,401 on 1 March 2011 to 1,899,486 on 1 November 2016</w:t>
      </w:r>
      <w:r>
        <w:rPr>
          <w:rFonts w:ascii="Calibri" w:eastAsia="PMingLiU" w:hAnsi="Calibri" w:cs="Times New Roman"/>
          <w:color w:val="5B9BD5" w:themeColor="accent1"/>
          <w:lang w:eastAsia="zh-TW"/>
        </w:rPr>
        <w:t xml:space="preserve">. </w:t>
      </w:r>
      <w:r w:rsidR="00BE4108">
        <w:rPr>
          <w:rFonts w:ascii="Calibri" w:eastAsia="PMingLiU" w:hAnsi="Calibri" w:cs="Times New Roman"/>
          <w:color w:val="5B9BD5" w:themeColor="accent1"/>
          <w:lang w:eastAsia="zh-TW"/>
        </w:rPr>
        <w:t xml:space="preserve">Still more than 84,000 evacuees stay at temporary locations, and are not able to decide whether to return or not to their home regions due to delay in recovery of economic and environmental livelihood, and </w:t>
      </w:r>
      <w:r w:rsidR="004A5636">
        <w:rPr>
          <w:rFonts w:ascii="Calibri" w:eastAsia="PMingLiU" w:hAnsi="Calibri" w:cs="Times New Roman"/>
          <w:color w:val="5B9BD5" w:themeColor="accent1"/>
          <w:lang w:eastAsia="zh-TW"/>
        </w:rPr>
        <w:t xml:space="preserve">lack of employment opportunities </w:t>
      </w:r>
      <w:r w:rsidR="00BE4108">
        <w:rPr>
          <w:rFonts w:ascii="Calibri" w:eastAsia="PMingLiU" w:hAnsi="Calibri" w:cs="Times New Roman"/>
          <w:color w:val="5B9BD5" w:themeColor="accent1"/>
          <w:lang w:eastAsia="zh-TW"/>
        </w:rPr>
        <w:t xml:space="preserve">as well as fear of radiation risks to health. </w:t>
      </w:r>
      <w:r w:rsidR="00BE4108" w:rsidRPr="00006CA2">
        <w:rPr>
          <w:rFonts w:ascii="Calibri" w:eastAsia="PMingLiU" w:hAnsi="Calibri" w:cs="Times New Roman"/>
          <w:color w:val="5B9BD5" w:themeColor="accent1"/>
          <w:lang w:eastAsia="zh-TW"/>
        </w:rPr>
        <w:t xml:space="preserve">About 31,000 evacuees were less than 18 years old reflecting their vulnerability to </w:t>
      </w:r>
      <w:r w:rsidR="00BE4108">
        <w:rPr>
          <w:rFonts w:ascii="Calibri" w:eastAsia="PMingLiU" w:hAnsi="Calibri" w:cs="Times New Roman"/>
          <w:color w:val="5B9BD5" w:themeColor="accent1"/>
          <w:lang w:eastAsia="zh-TW"/>
        </w:rPr>
        <w:t>radiation exposure.</w:t>
      </w:r>
      <w:r w:rsidR="00BE4108" w:rsidRPr="00006CA2">
        <w:rPr>
          <w:rStyle w:val="aa"/>
          <w:rFonts w:ascii="Calibri" w:eastAsia="PMingLiU" w:hAnsi="Calibri" w:cs="Times New Roman"/>
          <w:color w:val="5B9BD5" w:themeColor="accent1"/>
          <w:lang w:eastAsia="zh-TW"/>
        </w:rPr>
        <w:footnoteReference w:id="7"/>
      </w:r>
      <w:r w:rsidR="0074585B">
        <w:rPr>
          <w:rFonts w:ascii="Calibri" w:eastAsia="PMingLiU" w:hAnsi="Calibri" w:cs="Times New Roman"/>
          <w:color w:val="5B9BD5" w:themeColor="accent1"/>
          <w:lang w:eastAsia="zh-TW"/>
        </w:rPr>
        <w:t xml:space="preserve"> </w:t>
      </w:r>
    </w:p>
    <w:p w14:paraId="15D4C304"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1E4A3AB6"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20BB0BD2"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42C13781"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097B1CE5"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5310262D"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2D9573E6"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598C1971"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6EB8EA8D"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470B0FA5"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0E64007D"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2D738331"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437CC917"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253B4C7A" w14:textId="77777777" w:rsidR="000D03F2" w:rsidRDefault="000D03F2" w:rsidP="0074585B">
      <w:pPr>
        <w:autoSpaceDE w:val="0"/>
        <w:autoSpaceDN w:val="0"/>
        <w:adjustRightInd w:val="0"/>
        <w:ind w:firstLineChars="400" w:firstLine="840"/>
        <w:rPr>
          <w:rFonts w:ascii="Calibri" w:eastAsia="PMingLiU" w:hAnsi="Calibri" w:cs="Times New Roman"/>
          <w:color w:val="5B9BD5" w:themeColor="accent1"/>
          <w:lang w:eastAsia="zh-TW"/>
        </w:rPr>
      </w:pPr>
    </w:p>
    <w:p w14:paraId="74CF59BB" w14:textId="2556CA19" w:rsidR="009E6A16" w:rsidRDefault="00174A6A" w:rsidP="0074585B">
      <w:pPr>
        <w:autoSpaceDE w:val="0"/>
        <w:autoSpaceDN w:val="0"/>
        <w:adjustRightInd w:val="0"/>
        <w:ind w:firstLineChars="400" w:firstLine="840"/>
        <w:jc w:val="center"/>
        <w:rPr>
          <w:rFonts w:ascii="Calibri" w:eastAsia="PMingLiU" w:hAnsi="Calibri" w:cs="Times New Roman"/>
          <w:b/>
          <w:color w:val="5B9BD5" w:themeColor="accent1"/>
          <w:lang w:eastAsia="zh-TW"/>
        </w:rPr>
      </w:pPr>
      <w:r w:rsidRPr="00E51A5A">
        <w:rPr>
          <w:rFonts w:ascii="Calibri" w:eastAsia="PMingLiU" w:hAnsi="Calibri" w:cs="Times New Roman"/>
          <w:b/>
          <w:color w:val="5B9BD5" w:themeColor="accent1"/>
          <w:lang w:eastAsia="zh-TW"/>
        </w:rPr>
        <w:t>Table 1</w:t>
      </w:r>
      <w:r w:rsidR="00FA5C2E">
        <w:rPr>
          <w:rFonts w:ascii="Calibri" w:eastAsia="PMingLiU" w:hAnsi="Calibri" w:cs="Times New Roman"/>
          <w:b/>
          <w:color w:val="5B9BD5" w:themeColor="accent1"/>
          <w:lang w:eastAsia="zh-TW"/>
        </w:rPr>
        <w:t>.</w:t>
      </w:r>
      <w:r w:rsidRPr="00E51A5A">
        <w:rPr>
          <w:rFonts w:ascii="Calibri" w:eastAsia="PMingLiU" w:hAnsi="Calibri" w:cs="Times New Roman"/>
          <w:b/>
          <w:color w:val="5B9BD5" w:themeColor="accent1"/>
          <w:lang w:eastAsia="zh-TW"/>
        </w:rPr>
        <w:t xml:space="preserve"> </w:t>
      </w:r>
      <w:r w:rsidR="009E6A16" w:rsidRPr="00E51A5A">
        <w:rPr>
          <w:rFonts w:ascii="Calibri" w:eastAsia="PMingLiU" w:hAnsi="Calibri" w:cs="Times New Roman"/>
          <w:b/>
          <w:color w:val="5B9BD5" w:themeColor="accent1"/>
          <w:lang w:eastAsia="zh-TW"/>
        </w:rPr>
        <w:t>Estimates of cost of damages by the</w:t>
      </w:r>
      <w:r w:rsidR="009E6A16" w:rsidRPr="00E51A5A">
        <w:rPr>
          <w:b/>
        </w:rPr>
        <w:t xml:space="preserve"> </w:t>
      </w:r>
      <w:r w:rsidR="009E6A16" w:rsidRPr="00E51A5A">
        <w:rPr>
          <w:rFonts w:ascii="Calibri" w:eastAsia="PMingLiU" w:hAnsi="Calibri" w:cs="Times New Roman"/>
          <w:b/>
          <w:color w:val="5B9BD5" w:themeColor="accent1"/>
          <w:lang w:eastAsia="zh-TW"/>
        </w:rPr>
        <w:t>Great East Japan Earthquake and Tsunami of</w:t>
      </w:r>
      <w:r w:rsidR="00FA5C2E">
        <w:rPr>
          <w:rFonts w:ascii="Calibri" w:eastAsia="PMingLiU" w:hAnsi="Calibri" w:cs="Times New Roman"/>
          <w:b/>
          <w:color w:val="5B9BD5" w:themeColor="accent1"/>
          <w:lang w:eastAsia="zh-TW"/>
        </w:rPr>
        <w:t xml:space="preserve"> </w:t>
      </w:r>
      <w:r w:rsidR="009E6A16" w:rsidRPr="00E51A5A">
        <w:rPr>
          <w:rFonts w:ascii="Calibri" w:eastAsia="PMingLiU" w:hAnsi="Calibri" w:cs="Times New Roman"/>
          <w:b/>
          <w:color w:val="5B9BD5" w:themeColor="accent1"/>
          <w:lang w:eastAsia="zh-TW"/>
        </w:rPr>
        <w:t>2011</w:t>
      </w:r>
      <w:r w:rsidR="0074585B">
        <w:rPr>
          <w:rFonts w:ascii="Calibri" w:eastAsia="PMingLiU" w:hAnsi="Calibri" w:cs="Times New Roman"/>
          <w:b/>
          <w:color w:val="5B9BD5" w:themeColor="accent1"/>
          <w:lang w:eastAsia="zh-TW"/>
        </w:rPr>
        <w:t xml:space="preserve"> </w:t>
      </w:r>
      <w:r w:rsidR="005C1A63" w:rsidRPr="00E51A5A">
        <w:rPr>
          <w:rFonts w:ascii="Calibri" w:eastAsia="PMingLiU" w:hAnsi="Calibri" w:cs="Times New Roman"/>
          <w:b/>
          <w:color w:val="5B9BD5" w:themeColor="accent1"/>
          <w:lang w:eastAsia="zh-TW"/>
        </w:rPr>
        <w:t>(In trillion yen unless otherwise indicated)</w:t>
      </w:r>
    </w:p>
    <w:p w14:paraId="5A55FFDE" w14:textId="43281B22" w:rsidR="0074585B" w:rsidRDefault="0074585B" w:rsidP="00174A6A">
      <w:pPr>
        <w:autoSpaceDE w:val="0"/>
        <w:autoSpaceDN w:val="0"/>
        <w:adjustRightInd w:val="0"/>
        <w:ind w:firstLineChars="400" w:firstLine="840"/>
        <w:jc w:val="center"/>
        <w:rPr>
          <w:rFonts w:ascii="Calibri" w:eastAsia="PMingLiU" w:hAnsi="Calibri" w:cs="Times New Roman"/>
          <w:b/>
          <w:color w:val="5B9BD5" w:themeColor="accent1"/>
          <w:lang w:eastAsia="zh-TW"/>
        </w:rPr>
      </w:pPr>
      <w:r w:rsidRPr="0074585B">
        <w:rPr>
          <w:rFonts w:ascii="Calibri" w:eastAsia="PMingLiU" w:hAnsi="Calibri" w:cs="Times New Roman"/>
          <w:b/>
          <w:noProof/>
          <w:color w:val="5B9BD5" w:themeColor="accent1"/>
        </w:rPr>
        <mc:AlternateContent>
          <mc:Choice Requires="wps">
            <w:drawing>
              <wp:anchor distT="45720" distB="45720" distL="114300" distR="114300" simplePos="0" relativeHeight="251659264" behindDoc="0" locked="0" layoutInCell="1" allowOverlap="1" wp14:anchorId="131B9428" wp14:editId="50AADB9C">
                <wp:simplePos x="0" y="0"/>
                <wp:positionH relativeFrom="margin">
                  <wp:posOffset>732790</wp:posOffset>
                </wp:positionH>
                <wp:positionV relativeFrom="paragraph">
                  <wp:posOffset>210820</wp:posOffset>
                </wp:positionV>
                <wp:extent cx="4594860" cy="5378450"/>
                <wp:effectExtent l="0" t="0" r="1524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5378450"/>
                        </a:xfrm>
                        <a:prstGeom prst="rect">
                          <a:avLst/>
                        </a:prstGeom>
                        <a:solidFill>
                          <a:srgbClr val="FFFFFF"/>
                        </a:solidFill>
                        <a:ln w="9525">
                          <a:solidFill>
                            <a:srgbClr val="000000"/>
                          </a:solidFill>
                          <a:miter lim="800000"/>
                          <a:headEnd/>
                          <a:tailEnd/>
                        </a:ln>
                      </wps:spPr>
                      <wps:txbx>
                        <w:txbxContent>
                          <w:p w14:paraId="029FCF30" w14:textId="51C0E2A3" w:rsidR="0074585B" w:rsidRDefault="0074585B"/>
                          <w:tbl>
                            <w:tblPr>
                              <w:tblStyle w:val="ad"/>
                              <w:tblW w:w="6944" w:type="dxa"/>
                              <w:tblLook w:val="04A0" w:firstRow="1" w:lastRow="0" w:firstColumn="1" w:lastColumn="0" w:noHBand="0" w:noVBand="1"/>
                            </w:tblPr>
                            <w:tblGrid>
                              <w:gridCol w:w="2669"/>
                              <w:gridCol w:w="1154"/>
                              <w:gridCol w:w="1699"/>
                              <w:gridCol w:w="1422"/>
                            </w:tblGrid>
                            <w:tr w:rsidR="0074585B" w14:paraId="6784440A" w14:textId="77777777" w:rsidTr="00D6238C">
                              <w:trPr>
                                <w:cantSplit/>
                                <w:trHeight w:val="454"/>
                                <w:tblHeader/>
                              </w:trPr>
                              <w:tc>
                                <w:tcPr>
                                  <w:tcW w:w="2669" w:type="dxa"/>
                                </w:tcPr>
                                <w:p w14:paraId="6BB15693" w14:textId="77777777" w:rsidR="0074585B" w:rsidRDefault="0074585B" w:rsidP="0074585B">
                                  <w:pPr>
                                    <w:rPr>
                                      <w:lang w:val="en-GB"/>
                                    </w:rPr>
                                  </w:pPr>
                                </w:p>
                              </w:tc>
                              <w:tc>
                                <w:tcPr>
                                  <w:tcW w:w="1154" w:type="dxa"/>
                                </w:tcPr>
                                <w:p w14:paraId="0D53423C" w14:textId="77777777" w:rsidR="0074585B" w:rsidRDefault="0074585B" w:rsidP="0074585B">
                                  <w:pPr>
                                    <w:rPr>
                                      <w:lang w:val="en-GB"/>
                                    </w:rPr>
                                  </w:pPr>
                                  <w:r>
                                    <w:rPr>
                                      <w:rFonts w:hint="eastAsia"/>
                                      <w:lang w:val="en-GB"/>
                                    </w:rPr>
                                    <w:t>Original estimates</w:t>
                                  </w:r>
                                  <w:r>
                                    <w:rPr>
                                      <w:lang w:val="en-GB"/>
                                    </w:rPr>
                                    <w:t xml:space="preserve"> (June 2011)</w:t>
                                  </w:r>
                                </w:p>
                              </w:tc>
                              <w:tc>
                                <w:tcPr>
                                  <w:tcW w:w="1699" w:type="dxa"/>
                                </w:tcPr>
                                <w:p w14:paraId="4E20C2F3" w14:textId="77777777" w:rsidR="0074585B" w:rsidRDefault="0074585B" w:rsidP="0074585B">
                                  <w:pPr>
                                    <w:rPr>
                                      <w:lang w:val="en-GB"/>
                                    </w:rPr>
                                  </w:pPr>
                                  <w:r>
                                    <w:rPr>
                                      <w:rFonts w:hint="eastAsia"/>
                                      <w:lang w:val="en-GB"/>
                                    </w:rPr>
                                    <w:t>Current estimates</w:t>
                                  </w:r>
                                  <w:r>
                                    <w:rPr>
                                      <w:lang w:val="en-GB"/>
                                    </w:rPr>
                                    <w:t xml:space="preserve"> (March 2016)</w:t>
                                  </w:r>
                                  <w:r>
                                    <w:rPr>
                                      <w:rFonts w:hint="eastAsia"/>
                                      <w:lang w:val="en-GB"/>
                                    </w:rPr>
                                    <w:t xml:space="preserve"> </w:t>
                                  </w:r>
                                </w:p>
                              </w:tc>
                              <w:tc>
                                <w:tcPr>
                                  <w:tcW w:w="1422" w:type="dxa"/>
                                </w:tcPr>
                                <w:p w14:paraId="59E3C53C" w14:textId="77777777" w:rsidR="0074585B" w:rsidRDefault="0074585B" w:rsidP="0074585B">
                                  <w:pPr>
                                    <w:rPr>
                                      <w:lang w:val="en-GB"/>
                                    </w:rPr>
                                  </w:pPr>
                                  <w:r>
                                    <w:rPr>
                                      <w:lang w:val="en-GB"/>
                                    </w:rPr>
                                    <w:t>P</w:t>
                                  </w:r>
                                  <w:r>
                                    <w:rPr>
                                      <w:rFonts w:hint="eastAsia"/>
                                      <w:lang w:val="en-GB"/>
                                    </w:rPr>
                                    <w:t xml:space="preserve">rojected </w:t>
                                  </w:r>
                                  <w:r>
                                    <w:rPr>
                                      <w:lang w:val="en-GB"/>
                                    </w:rPr>
                                    <w:t>estimates</w:t>
                                  </w:r>
                                </w:p>
                                <w:p w14:paraId="12126A4A" w14:textId="77777777" w:rsidR="0074585B" w:rsidRDefault="0074585B" w:rsidP="0074585B">
                                  <w:pPr>
                                    <w:rPr>
                                      <w:lang w:val="en-GB"/>
                                    </w:rPr>
                                  </w:pPr>
                                  <w:r>
                                    <w:rPr>
                                      <w:lang w:val="en-GB"/>
                                    </w:rPr>
                                    <w:t>(December 2016)</w:t>
                                  </w:r>
                                </w:p>
                              </w:tc>
                            </w:tr>
                            <w:tr w:rsidR="0074585B" w14:paraId="391B3390" w14:textId="77777777" w:rsidTr="00D6238C">
                              <w:trPr>
                                <w:cantSplit/>
                                <w:trHeight w:val="454"/>
                                <w:tblHeader/>
                              </w:trPr>
                              <w:tc>
                                <w:tcPr>
                                  <w:tcW w:w="2669" w:type="dxa"/>
                                </w:tcPr>
                                <w:p w14:paraId="58332573" w14:textId="77777777" w:rsidR="0074585B" w:rsidRDefault="0074585B" w:rsidP="0074585B">
                                  <w:pPr>
                                    <w:tabs>
                                      <w:tab w:val="left" w:pos="1356"/>
                                    </w:tabs>
                                    <w:jc w:val="left"/>
                                    <w:rPr>
                                      <w:lang w:val="en-GB"/>
                                    </w:rPr>
                                  </w:pPr>
                                  <w:r>
                                    <w:rPr>
                                      <w:lang w:val="en-GB"/>
                                    </w:rPr>
                                    <w:t>(1) D</w:t>
                                  </w:r>
                                  <w:r w:rsidRPr="009E6A16">
                                    <w:rPr>
                                      <w:lang w:val="en-GB"/>
                                    </w:rPr>
                                    <w:t>amages caused by natural events i.e. earthquake and tsunami</w:t>
                                  </w:r>
                                </w:p>
                              </w:tc>
                              <w:tc>
                                <w:tcPr>
                                  <w:tcW w:w="1154" w:type="dxa"/>
                                </w:tcPr>
                                <w:p w14:paraId="3D30833F" w14:textId="77777777" w:rsidR="0074585B" w:rsidRDefault="0074585B" w:rsidP="0074585B">
                                  <w:pPr>
                                    <w:rPr>
                                      <w:lang w:val="en-GB"/>
                                    </w:rPr>
                                  </w:pPr>
                                  <w:r>
                                    <w:rPr>
                                      <w:rFonts w:hint="eastAsia"/>
                                      <w:lang w:val="en-GB"/>
                                    </w:rPr>
                                    <w:t>16.9</w:t>
                                  </w:r>
                                  <w:r>
                                    <w:rPr>
                                      <w:rStyle w:val="aa"/>
                                      <w:lang w:val="en-GB"/>
                                    </w:rPr>
                                    <w:footnoteRef/>
                                  </w:r>
                                  <w:r>
                                    <w:rPr>
                                      <w:rFonts w:hint="eastAsia"/>
                                      <w:lang w:val="en-GB"/>
                                    </w:rPr>
                                    <w:t xml:space="preserve"> </w:t>
                                  </w:r>
                                </w:p>
                              </w:tc>
                              <w:tc>
                                <w:tcPr>
                                  <w:tcW w:w="1699" w:type="dxa"/>
                                </w:tcPr>
                                <w:p w14:paraId="0927D2E5" w14:textId="77777777" w:rsidR="0074585B" w:rsidRDefault="0074585B" w:rsidP="0074585B">
                                  <w:pPr>
                                    <w:rPr>
                                      <w:lang w:val="en-GB"/>
                                    </w:rPr>
                                  </w:pPr>
                                  <w:r>
                                    <w:rPr>
                                      <w:lang w:val="en-GB"/>
                                    </w:rPr>
                                    <w:t>32</w:t>
                                  </w:r>
                                  <w:r>
                                    <w:rPr>
                                      <w:rStyle w:val="aa"/>
                                      <w:lang w:val="en-GB"/>
                                    </w:rPr>
                                    <w:footnoteRef/>
                                  </w:r>
                                </w:p>
                              </w:tc>
                              <w:tc>
                                <w:tcPr>
                                  <w:tcW w:w="1422" w:type="dxa"/>
                                </w:tcPr>
                                <w:p w14:paraId="57D247D9" w14:textId="77777777" w:rsidR="0074585B" w:rsidRPr="001A68FA" w:rsidRDefault="0074585B" w:rsidP="0074585B">
                                  <w:pPr>
                                    <w:rPr>
                                      <w:vertAlign w:val="superscript"/>
                                      <w:lang w:val="en-GB"/>
                                    </w:rPr>
                                  </w:pPr>
                                  <w:r>
                                    <w:rPr>
                                      <w:lang w:val="en-GB"/>
                                    </w:rPr>
                                    <w:t>32</w:t>
                                  </w:r>
                                  <w:r>
                                    <w:rPr>
                                      <w:vertAlign w:val="superscript"/>
                                      <w:lang w:val="en-GB"/>
                                    </w:rPr>
                                    <w:t>8</w:t>
                                  </w:r>
                                </w:p>
                              </w:tc>
                            </w:tr>
                            <w:tr w:rsidR="0074585B" w14:paraId="7E64EE6D" w14:textId="77777777" w:rsidTr="00D6238C">
                              <w:trPr>
                                <w:cantSplit/>
                                <w:trHeight w:val="454"/>
                                <w:tblHeader/>
                              </w:trPr>
                              <w:tc>
                                <w:tcPr>
                                  <w:tcW w:w="2669" w:type="dxa"/>
                                </w:tcPr>
                                <w:p w14:paraId="6395EC15" w14:textId="77777777" w:rsidR="0074585B" w:rsidRDefault="0074585B" w:rsidP="0074585B">
                                  <w:pPr>
                                    <w:jc w:val="left"/>
                                    <w:rPr>
                                      <w:lang w:val="en-GB"/>
                                    </w:rPr>
                                  </w:pPr>
                                  <w:r>
                                    <w:rPr>
                                      <w:lang w:val="en-GB"/>
                                    </w:rPr>
                                    <w:t>(2) T</w:t>
                                  </w:r>
                                  <w:r w:rsidRPr="009E6A16">
                                    <w:rPr>
                                      <w:lang w:val="en-GB"/>
                                    </w:rPr>
                                    <w:t>otal economic loss caused by 2011 Fukushima Daiichi Nuclear reactors’ disaster</w:t>
                                  </w:r>
                                </w:p>
                              </w:tc>
                              <w:tc>
                                <w:tcPr>
                                  <w:tcW w:w="1154" w:type="dxa"/>
                                </w:tcPr>
                                <w:p w14:paraId="098EDA7E" w14:textId="77777777" w:rsidR="0074585B" w:rsidRPr="00354C9B" w:rsidRDefault="0074585B" w:rsidP="0074585B">
                                  <w:pPr>
                                    <w:rPr>
                                      <w:rFonts w:ascii="Calibri" w:eastAsia="PMingLiU" w:hAnsi="Calibri" w:cs="Calibri"/>
                                      <w:szCs w:val="21"/>
                                      <w:lang w:eastAsia="zh-TW"/>
                                    </w:rPr>
                                  </w:pPr>
                                  <w:r w:rsidRPr="00354C9B">
                                    <w:rPr>
                                      <w:rFonts w:ascii="Calibri" w:eastAsia="PMingLiU" w:hAnsi="Calibri" w:cs="Calibri"/>
                                      <w:szCs w:val="21"/>
                                      <w:lang w:eastAsia="zh-TW"/>
                                    </w:rPr>
                                    <w:t>$250-$500 billion US</w:t>
                                  </w:r>
                                  <w:r w:rsidRPr="00354C9B">
                                    <w:rPr>
                                      <w:rStyle w:val="aa"/>
                                      <w:rFonts w:ascii="Calibri" w:eastAsia="PMingLiU" w:hAnsi="Calibri" w:cs="Calibri"/>
                                      <w:szCs w:val="21"/>
                                      <w:lang w:eastAsia="zh-TW"/>
                                    </w:rPr>
                                    <w:footnoteRef/>
                                  </w:r>
                                </w:p>
                                <w:p w14:paraId="4860C6B9" w14:textId="77777777" w:rsidR="0074585B" w:rsidRDefault="0074585B" w:rsidP="0074585B">
                                  <w:pPr>
                                    <w:rPr>
                                      <w:lang w:val="en-GB"/>
                                    </w:rPr>
                                  </w:pPr>
                                  <w:r w:rsidRPr="00354C9B">
                                    <w:rPr>
                                      <w:rFonts w:ascii="Calibri" w:eastAsia="PMingLiU" w:hAnsi="Calibri" w:cs="Calibri"/>
                                      <w:szCs w:val="21"/>
                                      <w:lang w:eastAsia="zh-TW"/>
                                    </w:rPr>
                                    <w:t xml:space="preserve">/or 25-50 </w:t>
                                  </w:r>
                                </w:p>
                              </w:tc>
                              <w:tc>
                                <w:tcPr>
                                  <w:tcW w:w="1699" w:type="dxa"/>
                                </w:tcPr>
                                <w:p w14:paraId="43B494D4" w14:textId="77777777" w:rsidR="0074585B" w:rsidRDefault="0074585B" w:rsidP="0074585B">
                                  <w:pPr>
                                    <w:rPr>
                                      <w:lang w:val="en-GB"/>
                                    </w:rPr>
                                  </w:pPr>
                                  <w:r>
                                    <w:rPr>
                                      <w:rFonts w:hint="eastAsia"/>
                                      <w:lang w:val="en-GB"/>
                                    </w:rPr>
                                    <w:t>N</w:t>
                                  </w:r>
                                  <w:r>
                                    <w:rPr>
                                      <w:lang w:val="en-GB"/>
                                    </w:rPr>
                                    <w:t>.A.</w:t>
                                  </w:r>
                                </w:p>
                              </w:tc>
                              <w:tc>
                                <w:tcPr>
                                  <w:tcW w:w="1422" w:type="dxa"/>
                                </w:tcPr>
                                <w:p w14:paraId="01BE58E5" w14:textId="77777777" w:rsidR="0074585B" w:rsidRDefault="0074585B" w:rsidP="0074585B">
                                  <w:pPr>
                                    <w:rPr>
                                      <w:lang w:val="en-GB"/>
                                    </w:rPr>
                                  </w:pPr>
                                  <w:r>
                                    <w:rPr>
                                      <w:rFonts w:hint="eastAsia"/>
                                      <w:lang w:val="en-GB"/>
                                    </w:rPr>
                                    <w:t>N.A.</w:t>
                                  </w:r>
                                </w:p>
                              </w:tc>
                            </w:tr>
                            <w:tr w:rsidR="0074585B" w14:paraId="6F4585B0" w14:textId="77777777" w:rsidTr="00D6238C">
                              <w:trPr>
                                <w:cantSplit/>
                                <w:trHeight w:val="454"/>
                                <w:tblHeader/>
                              </w:trPr>
                              <w:tc>
                                <w:tcPr>
                                  <w:tcW w:w="2669" w:type="dxa"/>
                                </w:tcPr>
                                <w:p w14:paraId="011BD65F" w14:textId="77777777" w:rsidR="0074585B" w:rsidRDefault="0074585B" w:rsidP="0074585B">
                                  <w:pPr>
                                    <w:rPr>
                                      <w:lang w:val="en-GB"/>
                                    </w:rPr>
                                  </w:pPr>
                                  <w:r>
                                    <w:rPr>
                                      <w:lang w:val="en-GB"/>
                                    </w:rPr>
                                    <w:t>(3) A</w:t>
                                  </w:r>
                                  <w:r w:rsidRPr="001B60C4">
                                    <w:rPr>
                                      <w:lang w:val="en-GB"/>
                                    </w:rPr>
                                    <w:t>ssessment of damages caused by the Fukushima Daiichi Nuclear reactors’ disaster</w:t>
                                  </w:r>
                                </w:p>
                              </w:tc>
                              <w:tc>
                                <w:tcPr>
                                  <w:tcW w:w="1154" w:type="dxa"/>
                                </w:tcPr>
                                <w:p w14:paraId="23FBADFD" w14:textId="77777777" w:rsidR="0074585B" w:rsidRDefault="0074585B" w:rsidP="0074585B">
                                  <w:pPr>
                                    <w:rPr>
                                      <w:lang w:val="en-GB"/>
                                    </w:rPr>
                                  </w:pPr>
                                  <w:r>
                                    <w:rPr>
                                      <w:rFonts w:hint="eastAsia"/>
                                      <w:lang w:val="en-GB"/>
                                    </w:rPr>
                                    <w:t>N.A.</w:t>
                                  </w:r>
                                </w:p>
                              </w:tc>
                              <w:tc>
                                <w:tcPr>
                                  <w:tcW w:w="1699" w:type="dxa"/>
                                </w:tcPr>
                                <w:p w14:paraId="094E9496" w14:textId="77777777" w:rsidR="0074585B" w:rsidRDefault="0074585B" w:rsidP="0074585B">
                                  <w:pPr>
                                    <w:rPr>
                                      <w:lang w:val="en-GB"/>
                                    </w:rPr>
                                  </w:pPr>
                                  <w:r>
                                    <w:rPr>
                                      <w:rFonts w:hint="eastAsia"/>
                                      <w:lang w:val="en-GB"/>
                                    </w:rPr>
                                    <w:t>13.3</w:t>
                                  </w:r>
                                  <w:r>
                                    <w:rPr>
                                      <w:rStyle w:val="aa"/>
                                      <w:lang w:val="en-GB"/>
                                    </w:rPr>
                                    <w:footnoteRef/>
                                  </w:r>
                                </w:p>
                              </w:tc>
                              <w:tc>
                                <w:tcPr>
                                  <w:tcW w:w="1422" w:type="dxa"/>
                                </w:tcPr>
                                <w:p w14:paraId="26A6FD06" w14:textId="77777777" w:rsidR="0074585B" w:rsidRDefault="0074585B" w:rsidP="0074585B">
                                  <w:pPr>
                                    <w:jc w:val="left"/>
                                    <w:rPr>
                                      <w:lang w:val="en-GB"/>
                                    </w:rPr>
                                  </w:pPr>
                                  <w:r>
                                    <w:rPr>
                                      <w:rFonts w:hint="eastAsia"/>
                                      <w:lang w:val="en-GB"/>
                                    </w:rPr>
                                    <w:t>22</w:t>
                                  </w:r>
                                  <w:r>
                                    <w:rPr>
                                      <w:rStyle w:val="aa"/>
                                      <w:lang w:val="en-GB"/>
                                    </w:rPr>
                                    <w:footnoteRef/>
                                  </w:r>
                                </w:p>
                              </w:tc>
                            </w:tr>
                            <w:tr w:rsidR="0074585B" w14:paraId="47C6F3F6" w14:textId="77777777" w:rsidTr="00D6238C">
                              <w:trPr>
                                <w:cantSplit/>
                                <w:trHeight w:val="454"/>
                                <w:tblHeader/>
                              </w:trPr>
                              <w:tc>
                                <w:tcPr>
                                  <w:tcW w:w="2669" w:type="dxa"/>
                                </w:tcPr>
                                <w:p w14:paraId="5926A377" w14:textId="77777777" w:rsidR="0074585B" w:rsidRDefault="0074585B" w:rsidP="0074585B">
                                  <w:pPr>
                                    <w:jc w:val="left"/>
                                    <w:rPr>
                                      <w:lang w:val="en-GB"/>
                                    </w:rPr>
                                  </w:pPr>
                                  <w:r>
                                    <w:rPr>
                                      <w:rFonts w:hint="eastAsia"/>
                                      <w:lang w:val="en-GB"/>
                                    </w:rPr>
                                    <w:t>Total</w:t>
                                  </w:r>
                                  <w:r>
                                    <w:rPr>
                                      <w:lang w:val="en-GB"/>
                                    </w:rPr>
                                    <w:t xml:space="preserve"> of (1) and (2):</w:t>
                                  </w:r>
                                </w:p>
                                <w:p w14:paraId="3A59EB77" w14:textId="77777777" w:rsidR="0074585B" w:rsidRPr="001B60C4" w:rsidRDefault="0074585B" w:rsidP="0074585B">
                                  <w:pPr>
                                    <w:jc w:val="left"/>
                                    <w:rPr>
                                      <w:lang w:val="en-GB"/>
                                    </w:rPr>
                                  </w:pPr>
                                  <w:r>
                                    <w:rPr>
                                      <w:lang w:val="en-GB"/>
                                    </w:rPr>
                                    <w:t>Maximum total</w:t>
                                  </w:r>
                                </w:p>
                              </w:tc>
                              <w:tc>
                                <w:tcPr>
                                  <w:tcW w:w="1154" w:type="dxa"/>
                                </w:tcPr>
                                <w:p w14:paraId="26AB08E7" w14:textId="77777777" w:rsidR="0074585B" w:rsidRDefault="0074585B" w:rsidP="0074585B">
                                  <w:pPr>
                                    <w:rPr>
                                      <w:lang w:val="en-GB"/>
                                    </w:rPr>
                                  </w:pPr>
                                  <w:r>
                                    <w:rPr>
                                      <w:rFonts w:hint="eastAsia"/>
                                      <w:lang w:val="en-GB"/>
                                    </w:rPr>
                                    <w:t>31.9</w:t>
                                  </w:r>
                                  <w:r>
                                    <w:rPr>
                                      <w:lang w:val="en-GB"/>
                                    </w:rPr>
                                    <w:t xml:space="preserve"> </w:t>
                                  </w:r>
                                  <w:r>
                                    <w:rPr>
                                      <w:rFonts w:hint="eastAsia"/>
                                      <w:lang w:val="en-GB"/>
                                    </w:rPr>
                                    <w:t>to</w:t>
                                  </w:r>
                                  <w:r>
                                    <w:rPr>
                                      <w:lang w:val="en-GB"/>
                                    </w:rPr>
                                    <w:t xml:space="preserve"> 66.9</w:t>
                                  </w:r>
                                  <w:r>
                                    <w:rPr>
                                      <w:rFonts w:hint="eastAsia"/>
                                      <w:lang w:val="en-GB"/>
                                    </w:rPr>
                                    <w:t xml:space="preserve"> </w:t>
                                  </w:r>
                                </w:p>
                              </w:tc>
                              <w:tc>
                                <w:tcPr>
                                  <w:tcW w:w="1699" w:type="dxa"/>
                                </w:tcPr>
                                <w:p w14:paraId="0A814323" w14:textId="77777777" w:rsidR="0074585B" w:rsidRDefault="0074585B" w:rsidP="0074585B">
                                  <w:pPr>
                                    <w:rPr>
                                      <w:lang w:val="en-GB"/>
                                    </w:rPr>
                                  </w:pPr>
                                </w:p>
                              </w:tc>
                              <w:tc>
                                <w:tcPr>
                                  <w:tcW w:w="1422" w:type="dxa"/>
                                </w:tcPr>
                                <w:p w14:paraId="1BF9588E" w14:textId="77777777" w:rsidR="0074585B" w:rsidRDefault="0074585B" w:rsidP="0074585B">
                                  <w:pPr>
                                    <w:rPr>
                                      <w:lang w:val="en-GB"/>
                                    </w:rPr>
                                  </w:pPr>
                                  <w:r>
                                    <w:rPr>
                                      <w:rFonts w:hint="eastAsia"/>
                                      <w:lang w:val="en-GB"/>
                                    </w:rPr>
                                    <w:t>N.A.</w:t>
                                  </w:r>
                                </w:p>
                              </w:tc>
                            </w:tr>
                            <w:tr w:rsidR="0074585B" w14:paraId="14B5DDB3" w14:textId="77777777" w:rsidTr="00D6238C">
                              <w:trPr>
                                <w:cantSplit/>
                                <w:trHeight w:val="454"/>
                                <w:tblHeader/>
                              </w:trPr>
                              <w:tc>
                                <w:tcPr>
                                  <w:tcW w:w="2669" w:type="dxa"/>
                                </w:tcPr>
                                <w:p w14:paraId="3689FCEF" w14:textId="77777777" w:rsidR="0074585B" w:rsidRDefault="0074585B" w:rsidP="0074585B">
                                  <w:pPr>
                                    <w:jc w:val="left"/>
                                    <w:rPr>
                                      <w:lang w:val="en-GB"/>
                                    </w:rPr>
                                  </w:pPr>
                                  <w:r w:rsidRPr="0092513E">
                                    <w:rPr>
                                      <w:lang w:val="en-GB"/>
                                    </w:rPr>
                                    <w:t>Total of (1) and (</w:t>
                                  </w:r>
                                  <w:r>
                                    <w:rPr>
                                      <w:lang w:val="en-GB"/>
                                    </w:rPr>
                                    <w:t>3</w:t>
                                  </w:r>
                                  <w:r w:rsidRPr="0092513E">
                                    <w:rPr>
                                      <w:lang w:val="en-GB"/>
                                    </w:rPr>
                                    <w:t>)</w:t>
                                  </w:r>
                                </w:p>
                              </w:tc>
                              <w:tc>
                                <w:tcPr>
                                  <w:tcW w:w="1154" w:type="dxa"/>
                                </w:tcPr>
                                <w:p w14:paraId="66B92B1F" w14:textId="77777777" w:rsidR="0074585B" w:rsidRDefault="0074585B" w:rsidP="0074585B">
                                  <w:pPr>
                                    <w:rPr>
                                      <w:lang w:val="en-GB"/>
                                    </w:rPr>
                                  </w:pPr>
                                  <w:r>
                                    <w:rPr>
                                      <w:rFonts w:hint="eastAsia"/>
                                      <w:lang w:val="en-GB"/>
                                    </w:rPr>
                                    <w:t>N</w:t>
                                  </w:r>
                                  <w:r>
                                    <w:rPr>
                                      <w:lang w:val="en-GB"/>
                                    </w:rPr>
                                    <w:t>.A.</w:t>
                                  </w:r>
                                </w:p>
                              </w:tc>
                              <w:tc>
                                <w:tcPr>
                                  <w:tcW w:w="1699" w:type="dxa"/>
                                </w:tcPr>
                                <w:p w14:paraId="68B83D58" w14:textId="77777777" w:rsidR="0074585B" w:rsidRDefault="0074585B" w:rsidP="0074585B">
                                  <w:pPr>
                                    <w:rPr>
                                      <w:lang w:val="en-GB"/>
                                    </w:rPr>
                                  </w:pPr>
                                  <w:r>
                                    <w:rPr>
                                      <w:rFonts w:hint="eastAsia"/>
                                      <w:lang w:val="en-GB"/>
                                    </w:rPr>
                                    <w:t>4</w:t>
                                  </w:r>
                                  <w:r>
                                    <w:rPr>
                                      <w:lang w:val="en-GB"/>
                                    </w:rPr>
                                    <w:t>5.3</w:t>
                                  </w:r>
                                </w:p>
                              </w:tc>
                              <w:tc>
                                <w:tcPr>
                                  <w:tcW w:w="1422" w:type="dxa"/>
                                </w:tcPr>
                                <w:p w14:paraId="7F16472F" w14:textId="77777777" w:rsidR="0074585B" w:rsidRDefault="0074585B" w:rsidP="0074585B">
                                  <w:pPr>
                                    <w:rPr>
                                      <w:lang w:val="en-GB"/>
                                    </w:rPr>
                                  </w:pPr>
                                  <w:r>
                                    <w:rPr>
                                      <w:lang w:val="en-GB"/>
                                    </w:rPr>
                                    <w:t>55</w:t>
                                  </w:r>
                                </w:p>
                              </w:tc>
                            </w:tr>
                            <w:tr w:rsidR="0074585B" w14:paraId="4B1F0736" w14:textId="77777777" w:rsidTr="00D6238C">
                              <w:trPr>
                                <w:cantSplit/>
                                <w:trHeight w:val="454"/>
                                <w:tblHeader/>
                              </w:trPr>
                              <w:tc>
                                <w:tcPr>
                                  <w:tcW w:w="2669" w:type="dxa"/>
                                </w:tcPr>
                                <w:p w14:paraId="2006C6D0" w14:textId="77777777" w:rsidR="0074585B" w:rsidRPr="0092513E" w:rsidRDefault="0074585B" w:rsidP="0074585B">
                                  <w:pPr>
                                    <w:jc w:val="left"/>
                                    <w:rPr>
                                      <w:lang w:val="en-GB"/>
                                    </w:rPr>
                                  </w:pPr>
                                </w:p>
                              </w:tc>
                              <w:tc>
                                <w:tcPr>
                                  <w:tcW w:w="1154" w:type="dxa"/>
                                </w:tcPr>
                                <w:p w14:paraId="3F05E88A" w14:textId="77777777" w:rsidR="0074585B" w:rsidRDefault="0074585B" w:rsidP="0074585B">
                                  <w:pPr>
                                    <w:rPr>
                                      <w:lang w:val="en-GB"/>
                                    </w:rPr>
                                  </w:pPr>
                                </w:p>
                              </w:tc>
                              <w:tc>
                                <w:tcPr>
                                  <w:tcW w:w="1699" w:type="dxa"/>
                                </w:tcPr>
                                <w:p w14:paraId="60B6BAD7" w14:textId="77777777" w:rsidR="0074585B" w:rsidRDefault="0074585B" w:rsidP="0074585B">
                                  <w:pPr>
                                    <w:rPr>
                                      <w:lang w:val="en-GB"/>
                                    </w:rPr>
                                  </w:pPr>
                                </w:p>
                              </w:tc>
                              <w:tc>
                                <w:tcPr>
                                  <w:tcW w:w="1422" w:type="dxa"/>
                                </w:tcPr>
                                <w:p w14:paraId="5D2AB999" w14:textId="77777777" w:rsidR="0074585B" w:rsidRDefault="0074585B" w:rsidP="0074585B">
                                  <w:pPr>
                                    <w:rPr>
                                      <w:lang w:val="en-GB"/>
                                    </w:rPr>
                                  </w:pPr>
                                </w:p>
                              </w:tc>
                            </w:tr>
                          </w:tbl>
                          <w:p w14:paraId="00617F17" w14:textId="77777777" w:rsidR="0074585B" w:rsidRDefault="00745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B9428" id="_x0000_t202" coordsize="21600,21600" o:spt="202" path="m,l,21600r21600,l21600,xe">
                <v:stroke joinstyle="miter"/>
                <v:path gradientshapeok="t" o:connecttype="rect"/>
              </v:shapetype>
              <v:shape id="テキスト ボックス 2" o:spid="_x0000_s1026" type="#_x0000_t202" style="position:absolute;left:0;text-align:left;margin-left:57.7pt;margin-top:16.6pt;width:361.8pt;height:4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">
                <v:textbox>
                  <w:txbxContent>
                    <w:p w14:paraId="029FCF30" w14:textId="51C0E2A3" w:rsidR="0074585B" w:rsidRDefault="0074585B"/>
                    <w:tbl>
                      <w:tblPr>
                        <w:tblStyle w:val="ad"/>
                        <w:tblW w:w="6944" w:type="dxa"/>
                        <w:tblLook w:val="04A0" w:firstRow="1" w:lastRow="0" w:firstColumn="1" w:lastColumn="0" w:noHBand="0" w:noVBand="1"/>
                      </w:tblPr>
                      <w:tblGrid>
                        <w:gridCol w:w="2669"/>
                        <w:gridCol w:w="1154"/>
                        <w:gridCol w:w="1699"/>
                        <w:gridCol w:w="1422"/>
                      </w:tblGrid>
                      <w:tr w:rsidR="0074585B" w14:paraId="6784440A" w14:textId="77777777" w:rsidTr="00D6238C">
                        <w:trPr>
                          <w:cantSplit/>
                          <w:trHeight w:val="454"/>
                          <w:tblHeader/>
                        </w:trPr>
                        <w:tc>
                          <w:tcPr>
                            <w:tcW w:w="2669" w:type="dxa"/>
                          </w:tcPr>
                          <w:p w14:paraId="6BB15693" w14:textId="77777777" w:rsidR="0074585B" w:rsidRDefault="0074585B" w:rsidP="0074585B">
                            <w:pPr>
                              <w:rPr>
                                <w:lang w:val="en-GB"/>
                              </w:rPr>
                            </w:pPr>
                          </w:p>
                        </w:tc>
                        <w:tc>
                          <w:tcPr>
                            <w:tcW w:w="1154" w:type="dxa"/>
                          </w:tcPr>
                          <w:p w14:paraId="0D53423C" w14:textId="77777777" w:rsidR="0074585B" w:rsidRDefault="0074585B" w:rsidP="0074585B">
                            <w:pPr>
                              <w:rPr>
                                <w:lang w:val="en-GB"/>
                              </w:rPr>
                            </w:pPr>
                            <w:r>
                              <w:rPr>
                                <w:rFonts w:hint="eastAsia"/>
                                <w:lang w:val="en-GB"/>
                              </w:rPr>
                              <w:t>Original estimates</w:t>
                            </w:r>
                            <w:r>
                              <w:rPr>
                                <w:lang w:val="en-GB"/>
                              </w:rPr>
                              <w:t xml:space="preserve"> (June 2011)</w:t>
                            </w:r>
                          </w:p>
                        </w:tc>
                        <w:tc>
                          <w:tcPr>
                            <w:tcW w:w="1699" w:type="dxa"/>
                          </w:tcPr>
                          <w:p w14:paraId="4E20C2F3" w14:textId="77777777" w:rsidR="0074585B" w:rsidRDefault="0074585B" w:rsidP="0074585B">
                            <w:pPr>
                              <w:rPr>
                                <w:lang w:val="en-GB"/>
                              </w:rPr>
                            </w:pPr>
                            <w:r>
                              <w:rPr>
                                <w:rFonts w:hint="eastAsia"/>
                                <w:lang w:val="en-GB"/>
                              </w:rPr>
                              <w:t>Current estimates</w:t>
                            </w:r>
                            <w:r>
                              <w:rPr>
                                <w:lang w:val="en-GB"/>
                              </w:rPr>
                              <w:t xml:space="preserve"> (March 2016)</w:t>
                            </w:r>
                            <w:r>
                              <w:rPr>
                                <w:rFonts w:hint="eastAsia"/>
                                <w:lang w:val="en-GB"/>
                              </w:rPr>
                              <w:t xml:space="preserve"> </w:t>
                            </w:r>
                          </w:p>
                        </w:tc>
                        <w:tc>
                          <w:tcPr>
                            <w:tcW w:w="1422" w:type="dxa"/>
                          </w:tcPr>
                          <w:p w14:paraId="59E3C53C" w14:textId="77777777" w:rsidR="0074585B" w:rsidRDefault="0074585B" w:rsidP="0074585B">
                            <w:pPr>
                              <w:rPr>
                                <w:lang w:val="en-GB"/>
                              </w:rPr>
                            </w:pPr>
                            <w:r>
                              <w:rPr>
                                <w:lang w:val="en-GB"/>
                              </w:rPr>
                              <w:t>P</w:t>
                            </w:r>
                            <w:r>
                              <w:rPr>
                                <w:rFonts w:hint="eastAsia"/>
                                <w:lang w:val="en-GB"/>
                              </w:rPr>
                              <w:t xml:space="preserve">rojected </w:t>
                            </w:r>
                            <w:r>
                              <w:rPr>
                                <w:lang w:val="en-GB"/>
                              </w:rPr>
                              <w:t>estimates</w:t>
                            </w:r>
                          </w:p>
                          <w:p w14:paraId="12126A4A" w14:textId="77777777" w:rsidR="0074585B" w:rsidRDefault="0074585B" w:rsidP="0074585B">
                            <w:pPr>
                              <w:rPr>
                                <w:lang w:val="en-GB"/>
                              </w:rPr>
                            </w:pPr>
                            <w:r>
                              <w:rPr>
                                <w:lang w:val="en-GB"/>
                              </w:rPr>
                              <w:t>(December 2016)</w:t>
                            </w:r>
                          </w:p>
                        </w:tc>
                      </w:tr>
                      <w:tr w:rsidR="0074585B" w14:paraId="391B3390" w14:textId="77777777" w:rsidTr="00D6238C">
                        <w:trPr>
                          <w:cantSplit/>
                          <w:trHeight w:val="454"/>
                          <w:tblHeader/>
                        </w:trPr>
                        <w:tc>
                          <w:tcPr>
                            <w:tcW w:w="2669" w:type="dxa"/>
                          </w:tcPr>
                          <w:p w14:paraId="58332573" w14:textId="77777777" w:rsidR="0074585B" w:rsidRDefault="0074585B" w:rsidP="0074585B">
                            <w:pPr>
                              <w:tabs>
                                <w:tab w:val="left" w:pos="1356"/>
                              </w:tabs>
                              <w:jc w:val="left"/>
                              <w:rPr>
                                <w:lang w:val="en-GB"/>
                              </w:rPr>
                            </w:pPr>
                            <w:r>
                              <w:rPr>
                                <w:lang w:val="en-GB"/>
                              </w:rPr>
                              <w:t>(1) D</w:t>
                            </w:r>
                            <w:r w:rsidRPr="009E6A16">
                              <w:rPr>
                                <w:lang w:val="en-GB"/>
                              </w:rPr>
                              <w:t>amages caused by natural events i.e. earthquake and tsunami</w:t>
                            </w:r>
                          </w:p>
                        </w:tc>
                        <w:tc>
                          <w:tcPr>
                            <w:tcW w:w="1154" w:type="dxa"/>
                          </w:tcPr>
                          <w:p w14:paraId="3D30833F" w14:textId="77777777" w:rsidR="0074585B" w:rsidRDefault="0074585B" w:rsidP="0074585B">
                            <w:pPr>
                              <w:rPr>
                                <w:lang w:val="en-GB"/>
                              </w:rPr>
                            </w:pPr>
                            <w:r>
                              <w:rPr>
                                <w:rFonts w:hint="eastAsia"/>
                                <w:lang w:val="en-GB"/>
                              </w:rPr>
                              <w:t>16.9</w:t>
                            </w:r>
                            <w:r>
                              <w:rPr>
                                <w:rStyle w:val="aa"/>
                                <w:lang w:val="en-GB"/>
                              </w:rPr>
                              <w:footnoteRef/>
                            </w:r>
                            <w:r>
                              <w:rPr>
                                <w:rFonts w:hint="eastAsia"/>
                                <w:lang w:val="en-GB"/>
                              </w:rPr>
                              <w:t xml:space="preserve"> </w:t>
                            </w:r>
                          </w:p>
                        </w:tc>
                        <w:tc>
                          <w:tcPr>
                            <w:tcW w:w="1699" w:type="dxa"/>
                          </w:tcPr>
                          <w:p w14:paraId="0927D2E5" w14:textId="77777777" w:rsidR="0074585B" w:rsidRDefault="0074585B" w:rsidP="0074585B">
                            <w:pPr>
                              <w:rPr>
                                <w:lang w:val="en-GB"/>
                              </w:rPr>
                            </w:pPr>
                            <w:r>
                              <w:rPr>
                                <w:lang w:val="en-GB"/>
                              </w:rPr>
                              <w:t>32</w:t>
                            </w:r>
                            <w:r>
                              <w:rPr>
                                <w:rStyle w:val="aa"/>
                                <w:lang w:val="en-GB"/>
                              </w:rPr>
                              <w:footnoteRef/>
                            </w:r>
                          </w:p>
                        </w:tc>
                        <w:tc>
                          <w:tcPr>
                            <w:tcW w:w="1422" w:type="dxa"/>
                          </w:tcPr>
                          <w:p w14:paraId="57D247D9" w14:textId="77777777" w:rsidR="0074585B" w:rsidRPr="001A68FA" w:rsidRDefault="0074585B" w:rsidP="0074585B">
                            <w:pPr>
                              <w:rPr>
                                <w:vertAlign w:val="superscript"/>
                                <w:lang w:val="en-GB"/>
                              </w:rPr>
                            </w:pPr>
                            <w:r>
                              <w:rPr>
                                <w:lang w:val="en-GB"/>
                              </w:rPr>
                              <w:t>32</w:t>
                            </w:r>
                            <w:r>
                              <w:rPr>
                                <w:vertAlign w:val="superscript"/>
                                <w:lang w:val="en-GB"/>
                              </w:rPr>
                              <w:t>8</w:t>
                            </w:r>
                          </w:p>
                        </w:tc>
                      </w:tr>
                      <w:tr w:rsidR="0074585B" w14:paraId="7E64EE6D" w14:textId="77777777" w:rsidTr="00D6238C">
                        <w:trPr>
                          <w:cantSplit/>
                          <w:trHeight w:val="454"/>
                          <w:tblHeader/>
                        </w:trPr>
                        <w:tc>
                          <w:tcPr>
                            <w:tcW w:w="2669" w:type="dxa"/>
                          </w:tcPr>
                          <w:p w14:paraId="6395EC15" w14:textId="77777777" w:rsidR="0074585B" w:rsidRDefault="0074585B" w:rsidP="0074585B">
                            <w:pPr>
                              <w:jc w:val="left"/>
                              <w:rPr>
                                <w:lang w:val="en-GB"/>
                              </w:rPr>
                            </w:pPr>
                            <w:r>
                              <w:rPr>
                                <w:lang w:val="en-GB"/>
                              </w:rPr>
                              <w:t>(2) T</w:t>
                            </w:r>
                            <w:r w:rsidRPr="009E6A16">
                              <w:rPr>
                                <w:lang w:val="en-GB"/>
                              </w:rPr>
                              <w:t>otal economic loss caused by 2011 Fukushima Daiichi Nuclear reactors’ disaster</w:t>
                            </w:r>
                          </w:p>
                        </w:tc>
                        <w:tc>
                          <w:tcPr>
                            <w:tcW w:w="1154" w:type="dxa"/>
                          </w:tcPr>
                          <w:p w14:paraId="098EDA7E" w14:textId="77777777" w:rsidR="0074585B" w:rsidRPr="00354C9B" w:rsidRDefault="0074585B" w:rsidP="0074585B">
                            <w:pPr>
                              <w:rPr>
                                <w:rFonts w:ascii="Calibri" w:eastAsia="PMingLiU" w:hAnsi="Calibri" w:cs="Calibri"/>
                                <w:szCs w:val="21"/>
                                <w:lang w:eastAsia="zh-TW"/>
                              </w:rPr>
                            </w:pPr>
                            <w:r w:rsidRPr="00354C9B">
                              <w:rPr>
                                <w:rFonts w:ascii="Calibri" w:eastAsia="PMingLiU" w:hAnsi="Calibri" w:cs="Calibri"/>
                                <w:szCs w:val="21"/>
                                <w:lang w:eastAsia="zh-TW"/>
                              </w:rPr>
                              <w:t>$250-$500 billion US</w:t>
                            </w:r>
                            <w:r w:rsidRPr="00354C9B">
                              <w:rPr>
                                <w:rStyle w:val="aa"/>
                                <w:rFonts w:ascii="Calibri" w:eastAsia="PMingLiU" w:hAnsi="Calibri" w:cs="Calibri"/>
                                <w:szCs w:val="21"/>
                                <w:lang w:eastAsia="zh-TW"/>
                              </w:rPr>
                              <w:footnoteRef/>
                            </w:r>
                          </w:p>
                          <w:p w14:paraId="4860C6B9" w14:textId="77777777" w:rsidR="0074585B" w:rsidRDefault="0074585B" w:rsidP="0074585B">
                            <w:pPr>
                              <w:rPr>
                                <w:lang w:val="en-GB"/>
                              </w:rPr>
                            </w:pPr>
                            <w:r w:rsidRPr="00354C9B">
                              <w:rPr>
                                <w:rFonts w:ascii="Calibri" w:eastAsia="PMingLiU" w:hAnsi="Calibri" w:cs="Calibri"/>
                                <w:szCs w:val="21"/>
                                <w:lang w:eastAsia="zh-TW"/>
                              </w:rPr>
                              <w:t xml:space="preserve">/or 25-50 </w:t>
                            </w:r>
                          </w:p>
                        </w:tc>
                        <w:tc>
                          <w:tcPr>
                            <w:tcW w:w="1699" w:type="dxa"/>
                          </w:tcPr>
                          <w:p w14:paraId="43B494D4" w14:textId="77777777" w:rsidR="0074585B" w:rsidRDefault="0074585B" w:rsidP="0074585B">
                            <w:pPr>
                              <w:rPr>
                                <w:lang w:val="en-GB"/>
                              </w:rPr>
                            </w:pPr>
                            <w:r>
                              <w:rPr>
                                <w:rFonts w:hint="eastAsia"/>
                                <w:lang w:val="en-GB"/>
                              </w:rPr>
                              <w:t>N</w:t>
                            </w:r>
                            <w:r>
                              <w:rPr>
                                <w:lang w:val="en-GB"/>
                              </w:rPr>
                              <w:t>.A.</w:t>
                            </w:r>
                          </w:p>
                        </w:tc>
                        <w:tc>
                          <w:tcPr>
                            <w:tcW w:w="1422" w:type="dxa"/>
                          </w:tcPr>
                          <w:p w14:paraId="01BE58E5" w14:textId="77777777" w:rsidR="0074585B" w:rsidRDefault="0074585B" w:rsidP="0074585B">
                            <w:pPr>
                              <w:rPr>
                                <w:lang w:val="en-GB"/>
                              </w:rPr>
                            </w:pPr>
                            <w:r>
                              <w:rPr>
                                <w:rFonts w:hint="eastAsia"/>
                                <w:lang w:val="en-GB"/>
                              </w:rPr>
                              <w:t>N.A.</w:t>
                            </w:r>
                          </w:p>
                        </w:tc>
                      </w:tr>
                      <w:tr w:rsidR="0074585B" w14:paraId="6F4585B0" w14:textId="77777777" w:rsidTr="00D6238C">
                        <w:trPr>
                          <w:cantSplit/>
                          <w:trHeight w:val="454"/>
                          <w:tblHeader/>
                        </w:trPr>
                        <w:tc>
                          <w:tcPr>
                            <w:tcW w:w="2669" w:type="dxa"/>
                          </w:tcPr>
                          <w:p w14:paraId="011BD65F" w14:textId="77777777" w:rsidR="0074585B" w:rsidRDefault="0074585B" w:rsidP="0074585B">
                            <w:pPr>
                              <w:rPr>
                                <w:lang w:val="en-GB"/>
                              </w:rPr>
                            </w:pPr>
                            <w:r>
                              <w:rPr>
                                <w:lang w:val="en-GB"/>
                              </w:rPr>
                              <w:t>(3) A</w:t>
                            </w:r>
                            <w:r w:rsidRPr="001B60C4">
                              <w:rPr>
                                <w:lang w:val="en-GB"/>
                              </w:rPr>
                              <w:t>ssessment of damages caused by the Fukushima Daiichi Nuclear reactors’ disaster</w:t>
                            </w:r>
                          </w:p>
                        </w:tc>
                        <w:tc>
                          <w:tcPr>
                            <w:tcW w:w="1154" w:type="dxa"/>
                          </w:tcPr>
                          <w:p w14:paraId="23FBADFD" w14:textId="77777777" w:rsidR="0074585B" w:rsidRDefault="0074585B" w:rsidP="0074585B">
                            <w:pPr>
                              <w:rPr>
                                <w:lang w:val="en-GB"/>
                              </w:rPr>
                            </w:pPr>
                            <w:r>
                              <w:rPr>
                                <w:rFonts w:hint="eastAsia"/>
                                <w:lang w:val="en-GB"/>
                              </w:rPr>
                              <w:t>N.A.</w:t>
                            </w:r>
                          </w:p>
                        </w:tc>
                        <w:tc>
                          <w:tcPr>
                            <w:tcW w:w="1699" w:type="dxa"/>
                          </w:tcPr>
                          <w:p w14:paraId="094E9496" w14:textId="77777777" w:rsidR="0074585B" w:rsidRDefault="0074585B" w:rsidP="0074585B">
                            <w:pPr>
                              <w:rPr>
                                <w:lang w:val="en-GB"/>
                              </w:rPr>
                            </w:pPr>
                            <w:r>
                              <w:rPr>
                                <w:rFonts w:hint="eastAsia"/>
                                <w:lang w:val="en-GB"/>
                              </w:rPr>
                              <w:t>13.3</w:t>
                            </w:r>
                            <w:r>
                              <w:rPr>
                                <w:rStyle w:val="aa"/>
                                <w:lang w:val="en-GB"/>
                              </w:rPr>
                              <w:footnoteRef/>
                            </w:r>
                          </w:p>
                        </w:tc>
                        <w:tc>
                          <w:tcPr>
                            <w:tcW w:w="1422" w:type="dxa"/>
                          </w:tcPr>
                          <w:p w14:paraId="26A6FD06" w14:textId="77777777" w:rsidR="0074585B" w:rsidRDefault="0074585B" w:rsidP="0074585B">
                            <w:pPr>
                              <w:jc w:val="left"/>
                              <w:rPr>
                                <w:lang w:val="en-GB"/>
                              </w:rPr>
                            </w:pPr>
                            <w:r>
                              <w:rPr>
                                <w:rFonts w:hint="eastAsia"/>
                                <w:lang w:val="en-GB"/>
                              </w:rPr>
                              <w:t>22</w:t>
                            </w:r>
                            <w:r>
                              <w:rPr>
                                <w:rStyle w:val="aa"/>
                                <w:lang w:val="en-GB"/>
                              </w:rPr>
                              <w:footnoteRef/>
                            </w:r>
                          </w:p>
                        </w:tc>
                      </w:tr>
                      <w:tr w:rsidR="0074585B" w14:paraId="47C6F3F6" w14:textId="77777777" w:rsidTr="00D6238C">
                        <w:trPr>
                          <w:cantSplit/>
                          <w:trHeight w:val="454"/>
                          <w:tblHeader/>
                        </w:trPr>
                        <w:tc>
                          <w:tcPr>
                            <w:tcW w:w="2669" w:type="dxa"/>
                          </w:tcPr>
                          <w:p w14:paraId="5926A377" w14:textId="77777777" w:rsidR="0074585B" w:rsidRDefault="0074585B" w:rsidP="0074585B">
                            <w:pPr>
                              <w:jc w:val="left"/>
                              <w:rPr>
                                <w:lang w:val="en-GB"/>
                              </w:rPr>
                            </w:pPr>
                            <w:r>
                              <w:rPr>
                                <w:rFonts w:hint="eastAsia"/>
                                <w:lang w:val="en-GB"/>
                              </w:rPr>
                              <w:t>Total</w:t>
                            </w:r>
                            <w:r>
                              <w:rPr>
                                <w:lang w:val="en-GB"/>
                              </w:rPr>
                              <w:t xml:space="preserve"> of (1) and (2):</w:t>
                            </w:r>
                          </w:p>
                          <w:p w14:paraId="3A59EB77" w14:textId="77777777" w:rsidR="0074585B" w:rsidRPr="001B60C4" w:rsidRDefault="0074585B" w:rsidP="0074585B">
                            <w:pPr>
                              <w:jc w:val="left"/>
                              <w:rPr>
                                <w:lang w:val="en-GB"/>
                              </w:rPr>
                            </w:pPr>
                            <w:r>
                              <w:rPr>
                                <w:lang w:val="en-GB"/>
                              </w:rPr>
                              <w:t>Maximum total</w:t>
                            </w:r>
                          </w:p>
                        </w:tc>
                        <w:tc>
                          <w:tcPr>
                            <w:tcW w:w="1154" w:type="dxa"/>
                          </w:tcPr>
                          <w:p w14:paraId="26AB08E7" w14:textId="77777777" w:rsidR="0074585B" w:rsidRDefault="0074585B" w:rsidP="0074585B">
                            <w:pPr>
                              <w:rPr>
                                <w:lang w:val="en-GB"/>
                              </w:rPr>
                            </w:pPr>
                            <w:r>
                              <w:rPr>
                                <w:rFonts w:hint="eastAsia"/>
                                <w:lang w:val="en-GB"/>
                              </w:rPr>
                              <w:t>31.9</w:t>
                            </w:r>
                            <w:r>
                              <w:rPr>
                                <w:lang w:val="en-GB"/>
                              </w:rPr>
                              <w:t xml:space="preserve"> </w:t>
                            </w:r>
                            <w:r>
                              <w:rPr>
                                <w:rFonts w:hint="eastAsia"/>
                                <w:lang w:val="en-GB"/>
                              </w:rPr>
                              <w:t>to</w:t>
                            </w:r>
                            <w:r>
                              <w:rPr>
                                <w:lang w:val="en-GB"/>
                              </w:rPr>
                              <w:t xml:space="preserve"> 66.9</w:t>
                            </w:r>
                            <w:r>
                              <w:rPr>
                                <w:rFonts w:hint="eastAsia"/>
                                <w:lang w:val="en-GB"/>
                              </w:rPr>
                              <w:t xml:space="preserve"> </w:t>
                            </w:r>
                          </w:p>
                        </w:tc>
                        <w:tc>
                          <w:tcPr>
                            <w:tcW w:w="1699" w:type="dxa"/>
                          </w:tcPr>
                          <w:p w14:paraId="0A814323" w14:textId="77777777" w:rsidR="0074585B" w:rsidRDefault="0074585B" w:rsidP="0074585B">
                            <w:pPr>
                              <w:rPr>
                                <w:lang w:val="en-GB"/>
                              </w:rPr>
                            </w:pPr>
                          </w:p>
                        </w:tc>
                        <w:tc>
                          <w:tcPr>
                            <w:tcW w:w="1422" w:type="dxa"/>
                          </w:tcPr>
                          <w:p w14:paraId="1BF9588E" w14:textId="77777777" w:rsidR="0074585B" w:rsidRDefault="0074585B" w:rsidP="0074585B">
                            <w:pPr>
                              <w:rPr>
                                <w:lang w:val="en-GB"/>
                              </w:rPr>
                            </w:pPr>
                            <w:r>
                              <w:rPr>
                                <w:rFonts w:hint="eastAsia"/>
                                <w:lang w:val="en-GB"/>
                              </w:rPr>
                              <w:t>N.A.</w:t>
                            </w:r>
                          </w:p>
                        </w:tc>
                      </w:tr>
                      <w:tr w:rsidR="0074585B" w14:paraId="14B5DDB3" w14:textId="77777777" w:rsidTr="00D6238C">
                        <w:trPr>
                          <w:cantSplit/>
                          <w:trHeight w:val="454"/>
                          <w:tblHeader/>
                        </w:trPr>
                        <w:tc>
                          <w:tcPr>
                            <w:tcW w:w="2669" w:type="dxa"/>
                          </w:tcPr>
                          <w:p w14:paraId="3689FCEF" w14:textId="77777777" w:rsidR="0074585B" w:rsidRDefault="0074585B" w:rsidP="0074585B">
                            <w:pPr>
                              <w:jc w:val="left"/>
                              <w:rPr>
                                <w:lang w:val="en-GB"/>
                              </w:rPr>
                            </w:pPr>
                            <w:r w:rsidRPr="0092513E">
                              <w:rPr>
                                <w:lang w:val="en-GB"/>
                              </w:rPr>
                              <w:t>Total of (1) and (</w:t>
                            </w:r>
                            <w:r>
                              <w:rPr>
                                <w:lang w:val="en-GB"/>
                              </w:rPr>
                              <w:t>3</w:t>
                            </w:r>
                            <w:r w:rsidRPr="0092513E">
                              <w:rPr>
                                <w:lang w:val="en-GB"/>
                              </w:rPr>
                              <w:t>)</w:t>
                            </w:r>
                          </w:p>
                        </w:tc>
                        <w:tc>
                          <w:tcPr>
                            <w:tcW w:w="1154" w:type="dxa"/>
                          </w:tcPr>
                          <w:p w14:paraId="66B92B1F" w14:textId="77777777" w:rsidR="0074585B" w:rsidRDefault="0074585B" w:rsidP="0074585B">
                            <w:pPr>
                              <w:rPr>
                                <w:lang w:val="en-GB"/>
                              </w:rPr>
                            </w:pPr>
                            <w:r>
                              <w:rPr>
                                <w:rFonts w:hint="eastAsia"/>
                                <w:lang w:val="en-GB"/>
                              </w:rPr>
                              <w:t>N</w:t>
                            </w:r>
                            <w:r>
                              <w:rPr>
                                <w:lang w:val="en-GB"/>
                              </w:rPr>
                              <w:t>.A.</w:t>
                            </w:r>
                          </w:p>
                        </w:tc>
                        <w:tc>
                          <w:tcPr>
                            <w:tcW w:w="1699" w:type="dxa"/>
                          </w:tcPr>
                          <w:p w14:paraId="68B83D58" w14:textId="77777777" w:rsidR="0074585B" w:rsidRDefault="0074585B" w:rsidP="0074585B">
                            <w:pPr>
                              <w:rPr>
                                <w:lang w:val="en-GB"/>
                              </w:rPr>
                            </w:pPr>
                            <w:r>
                              <w:rPr>
                                <w:rFonts w:hint="eastAsia"/>
                                <w:lang w:val="en-GB"/>
                              </w:rPr>
                              <w:t>4</w:t>
                            </w:r>
                            <w:r>
                              <w:rPr>
                                <w:lang w:val="en-GB"/>
                              </w:rPr>
                              <w:t>5.3</w:t>
                            </w:r>
                          </w:p>
                        </w:tc>
                        <w:tc>
                          <w:tcPr>
                            <w:tcW w:w="1422" w:type="dxa"/>
                          </w:tcPr>
                          <w:p w14:paraId="7F16472F" w14:textId="77777777" w:rsidR="0074585B" w:rsidRDefault="0074585B" w:rsidP="0074585B">
                            <w:pPr>
                              <w:rPr>
                                <w:lang w:val="en-GB"/>
                              </w:rPr>
                            </w:pPr>
                            <w:r>
                              <w:rPr>
                                <w:lang w:val="en-GB"/>
                              </w:rPr>
                              <w:t>55</w:t>
                            </w:r>
                          </w:p>
                        </w:tc>
                      </w:tr>
                      <w:tr w:rsidR="0074585B" w14:paraId="4B1F0736" w14:textId="77777777" w:rsidTr="00D6238C">
                        <w:trPr>
                          <w:cantSplit/>
                          <w:trHeight w:val="454"/>
                          <w:tblHeader/>
                        </w:trPr>
                        <w:tc>
                          <w:tcPr>
                            <w:tcW w:w="2669" w:type="dxa"/>
                          </w:tcPr>
                          <w:p w14:paraId="2006C6D0" w14:textId="77777777" w:rsidR="0074585B" w:rsidRPr="0092513E" w:rsidRDefault="0074585B" w:rsidP="0074585B">
                            <w:pPr>
                              <w:jc w:val="left"/>
                              <w:rPr>
                                <w:lang w:val="en-GB"/>
                              </w:rPr>
                            </w:pPr>
                          </w:p>
                        </w:tc>
                        <w:tc>
                          <w:tcPr>
                            <w:tcW w:w="1154" w:type="dxa"/>
                          </w:tcPr>
                          <w:p w14:paraId="3F05E88A" w14:textId="77777777" w:rsidR="0074585B" w:rsidRDefault="0074585B" w:rsidP="0074585B">
                            <w:pPr>
                              <w:rPr>
                                <w:lang w:val="en-GB"/>
                              </w:rPr>
                            </w:pPr>
                          </w:p>
                        </w:tc>
                        <w:tc>
                          <w:tcPr>
                            <w:tcW w:w="1699" w:type="dxa"/>
                          </w:tcPr>
                          <w:p w14:paraId="60B6BAD7" w14:textId="77777777" w:rsidR="0074585B" w:rsidRDefault="0074585B" w:rsidP="0074585B">
                            <w:pPr>
                              <w:rPr>
                                <w:lang w:val="en-GB"/>
                              </w:rPr>
                            </w:pPr>
                          </w:p>
                        </w:tc>
                        <w:tc>
                          <w:tcPr>
                            <w:tcW w:w="1422" w:type="dxa"/>
                          </w:tcPr>
                          <w:p w14:paraId="5D2AB999" w14:textId="77777777" w:rsidR="0074585B" w:rsidRDefault="0074585B" w:rsidP="0074585B">
                            <w:pPr>
                              <w:rPr>
                                <w:lang w:val="en-GB"/>
                              </w:rPr>
                            </w:pPr>
                          </w:p>
                        </w:tc>
                      </w:tr>
                    </w:tbl>
                    <w:p w14:paraId="00617F17" w14:textId="77777777" w:rsidR="0074585B" w:rsidRDefault="0074585B"/>
                  </w:txbxContent>
                </v:textbox>
                <w10:wrap type="square" anchorx="margin"/>
              </v:shape>
            </w:pict>
          </mc:Fallback>
        </mc:AlternateContent>
      </w:r>
    </w:p>
    <w:p w14:paraId="38EDBD95" w14:textId="77777777" w:rsidR="0074585B" w:rsidRDefault="0074585B" w:rsidP="00174A6A">
      <w:pPr>
        <w:autoSpaceDE w:val="0"/>
        <w:autoSpaceDN w:val="0"/>
        <w:adjustRightInd w:val="0"/>
        <w:ind w:firstLineChars="400" w:firstLine="840"/>
        <w:jc w:val="center"/>
        <w:rPr>
          <w:rFonts w:ascii="Calibri" w:eastAsia="PMingLiU" w:hAnsi="Calibri" w:cs="Times New Roman"/>
          <w:b/>
          <w:color w:val="5B9BD5" w:themeColor="accent1"/>
          <w:lang w:eastAsia="zh-TW"/>
        </w:rPr>
      </w:pPr>
    </w:p>
    <w:p w14:paraId="0C2DB14E" w14:textId="77777777" w:rsidR="009E6A16" w:rsidRDefault="009E6A16" w:rsidP="00397354">
      <w:pPr>
        <w:ind w:firstLine="735"/>
        <w:rPr>
          <w:rStyle w:val="apple-converted-space"/>
          <w:rFonts w:ascii="Calibri" w:hAnsi="Calibri" w:cs="Calibri"/>
          <w:color w:val="000000"/>
          <w:shd w:val="clear" w:color="auto" w:fill="FFFFFF"/>
        </w:rPr>
      </w:pPr>
    </w:p>
    <w:p w14:paraId="4FF7AE57" w14:textId="77777777" w:rsidR="009E6A16" w:rsidRDefault="009E6A16" w:rsidP="00397354">
      <w:pPr>
        <w:ind w:firstLine="735"/>
        <w:rPr>
          <w:rStyle w:val="apple-converted-space"/>
          <w:rFonts w:ascii="Calibri" w:hAnsi="Calibri" w:cs="Calibri"/>
          <w:color w:val="000000"/>
          <w:shd w:val="clear" w:color="auto" w:fill="FFFFFF"/>
        </w:rPr>
      </w:pPr>
    </w:p>
    <w:p w14:paraId="45B7BF2C" w14:textId="77777777" w:rsidR="0074585B" w:rsidRDefault="0074585B" w:rsidP="00397354">
      <w:pPr>
        <w:ind w:firstLine="735"/>
        <w:rPr>
          <w:rStyle w:val="apple-converted-space"/>
          <w:rFonts w:ascii="Calibri" w:hAnsi="Calibri" w:cs="Calibri"/>
          <w:color w:val="000000"/>
          <w:shd w:val="clear" w:color="auto" w:fill="FFFFFF"/>
        </w:rPr>
      </w:pPr>
    </w:p>
    <w:p w14:paraId="352DCA1C" w14:textId="77777777" w:rsidR="0074585B" w:rsidRDefault="0074585B" w:rsidP="00397354">
      <w:pPr>
        <w:ind w:firstLine="735"/>
        <w:rPr>
          <w:rStyle w:val="apple-converted-space"/>
          <w:rFonts w:ascii="Calibri" w:hAnsi="Calibri" w:cs="Calibri"/>
          <w:color w:val="000000"/>
          <w:shd w:val="clear" w:color="auto" w:fill="FFFFFF"/>
        </w:rPr>
      </w:pPr>
    </w:p>
    <w:p w14:paraId="38AF66D2" w14:textId="77777777" w:rsidR="0074585B" w:rsidRDefault="0074585B" w:rsidP="00397354">
      <w:pPr>
        <w:ind w:firstLine="735"/>
        <w:rPr>
          <w:rStyle w:val="apple-converted-space"/>
          <w:rFonts w:ascii="Calibri" w:hAnsi="Calibri" w:cs="Calibri"/>
          <w:color w:val="000000"/>
          <w:shd w:val="clear" w:color="auto" w:fill="FFFFFF"/>
        </w:rPr>
      </w:pPr>
    </w:p>
    <w:p w14:paraId="3C08472D" w14:textId="77777777" w:rsidR="0074585B" w:rsidRDefault="0074585B" w:rsidP="00397354">
      <w:pPr>
        <w:ind w:firstLine="735"/>
        <w:rPr>
          <w:rStyle w:val="apple-converted-space"/>
          <w:rFonts w:ascii="Calibri" w:hAnsi="Calibri" w:cs="Calibri"/>
          <w:color w:val="000000"/>
          <w:shd w:val="clear" w:color="auto" w:fill="FFFFFF"/>
        </w:rPr>
      </w:pPr>
    </w:p>
    <w:p w14:paraId="6BE81180" w14:textId="77777777" w:rsidR="00397354" w:rsidRDefault="00397354" w:rsidP="00397354">
      <w:pPr>
        <w:ind w:firstLine="735"/>
        <w:rPr>
          <w:rStyle w:val="apple-converted-space"/>
          <w:rFonts w:ascii="Calibri" w:hAnsi="Calibri" w:cs="Calibri"/>
          <w:color w:val="000000"/>
          <w:shd w:val="clear" w:color="auto" w:fill="FFFFFF"/>
        </w:rPr>
      </w:pPr>
      <w:r>
        <w:rPr>
          <w:rStyle w:val="apple-converted-space"/>
          <w:rFonts w:ascii="Calibri" w:hAnsi="Calibri" w:cs="Calibri"/>
          <w:color w:val="000000"/>
          <w:shd w:val="clear" w:color="auto" w:fill="FFFFFF"/>
        </w:rPr>
        <w:t xml:space="preserve">On </w:t>
      </w:r>
      <w:r w:rsidRPr="006178CF">
        <w:rPr>
          <w:rStyle w:val="apple-converted-space"/>
          <w:rFonts w:ascii="Calibri" w:hAnsi="Calibri" w:cs="Calibri"/>
          <w:color w:val="000000"/>
          <w:shd w:val="clear" w:color="auto" w:fill="FFFFFF"/>
        </w:rPr>
        <w:t>June 24, 2011</w:t>
      </w:r>
      <w:r>
        <w:rPr>
          <w:rStyle w:val="apple-converted-space"/>
          <w:rFonts w:ascii="Calibri" w:hAnsi="Calibri" w:cs="Calibri"/>
          <w:color w:val="000000"/>
          <w:shd w:val="clear" w:color="auto" w:fill="FFFFFF"/>
        </w:rPr>
        <w:t>,</w:t>
      </w:r>
      <w:r w:rsidRPr="006178CF">
        <w:rPr>
          <w:rStyle w:val="apple-converted-space"/>
          <w:rFonts w:ascii="Calibri" w:hAnsi="Calibri" w:cs="Calibri"/>
          <w:color w:val="000000"/>
          <w:shd w:val="clear" w:color="auto" w:fill="FFFFFF"/>
        </w:rPr>
        <w:t xml:space="preserve"> </w:t>
      </w:r>
      <w:r>
        <w:rPr>
          <w:rStyle w:val="apple-converted-space"/>
          <w:rFonts w:ascii="Calibri" w:hAnsi="Calibri" w:cs="Calibri"/>
          <w:color w:val="000000"/>
          <w:shd w:val="clear" w:color="auto" w:fill="FFFFFF"/>
        </w:rPr>
        <w:t>the Cabinet Office of Japan estimated the economic d</w:t>
      </w:r>
      <w:r w:rsidRPr="00A97B98">
        <w:rPr>
          <w:rStyle w:val="apple-converted-space"/>
          <w:rFonts w:ascii="Calibri" w:hAnsi="Calibri" w:cs="Calibri"/>
          <w:color w:val="000000"/>
          <w:shd w:val="clear" w:color="auto" w:fill="FFFFFF"/>
        </w:rPr>
        <w:t xml:space="preserve">amage </w:t>
      </w:r>
      <w:r>
        <w:rPr>
          <w:rStyle w:val="apple-converted-space"/>
          <w:rFonts w:ascii="Calibri" w:hAnsi="Calibri" w:cs="Calibri"/>
          <w:color w:val="000000"/>
          <w:shd w:val="clear" w:color="auto" w:fill="FFFFFF"/>
        </w:rPr>
        <w:t xml:space="preserve">caused by </w:t>
      </w:r>
      <w:r w:rsidRPr="00A97B98">
        <w:rPr>
          <w:rStyle w:val="apple-converted-space"/>
          <w:rFonts w:ascii="Calibri" w:hAnsi="Calibri" w:cs="Calibri"/>
          <w:color w:val="000000"/>
          <w:shd w:val="clear" w:color="auto" w:fill="FFFFFF"/>
        </w:rPr>
        <w:t xml:space="preserve">the Great East Japan Earthquake </w:t>
      </w:r>
      <w:r>
        <w:rPr>
          <w:rStyle w:val="apple-converted-space"/>
          <w:rFonts w:ascii="Calibri" w:hAnsi="Calibri" w:cs="Calibri"/>
          <w:color w:val="000000"/>
          <w:shd w:val="clear" w:color="auto" w:fill="FFFFFF"/>
        </w:rPr>
        <w:t xml:space="preserve">at </w:t>
      </w:r>
      <w:r w:rsidRPr="00A97B98">
        <w:rPr>
          <w:rStyle w:val="apple-converted-space"/>
          <w:rFonts w:ascii="Calibri" w:hAnsi="Calibri" w:cs="Calibri"/>
          <w:color w:val="000000"/>
          <w:shd w:val="clear" w:color="auto" w:fill="FFFFFF"/>
        </w:rPr>
        <w:t>JPY 16.9 trillion</w:t>
      </w:r>
      <w:r>
        <w:rPr>
          <w:rStyle w:val="aa"/>
          <w:rFonts w:ascii="Calibri" w:hAnsi="Calibri" w:cs="Calibri"/>
          <w:color w:val="000000"/>
          <w:shd w:val="clear" w:color="auto" w:fill="FFFFFF"/>
        </w:rPr>
        <w:footnoteReference w:id="8"/>
      </w:r>
      <w:r>
        <w:rPr>
          <w:rStyle w:val="apple-converted-space"/>
          <w:rFonts w:ascii="Calibri" w:hAnsi="Calibri" w:cs="Calibri"/>
          <w:color w:val="000000"/>
          <w:shd w:val="clear" w:color="auto" w:fill="FFFFFF"/>
        </w:rPr>
        <w:t xml:space="preserve"> which is broken down as follows:</w:t>
      </w:r>
    </w:p>
    <w:p w14:paraId="76BFD8F8" w14:textId="6BF540D6" w:rsidR="00397354" w:rsidRPr="00D60374" w:rsidRDefault="00397354" w:rsidP="00D60374">
      <w:pPr>
        <w:pStyle w:val="ac"/>
        <w:numPr>
          <w:ilvl w:val="0"/>
          <w:numId w:val="1"/>
        </w:numPr>
        <w:ind w:leftChars="0"/>
        <w:rPr>
          <w:rStyle w:val="apple-converted-space"/>
          <w:rFonts w:ascii="Calibri" w:hAnsi="Calibri" w:cs="Calibri"/>
          <w:color w:val="000000"/>
          <w:shd w:val="clear" w:color="auto" w:fill="FFFFFF"/>
        </w:rPr>
      </w:pPr>
      <w:r w:rsidRPr="00D60374">
        <w:rPr>
          <w:rStyle w:val="apple-converted-space"/>
          <w:rFonts w:ascii="Calibri" w:hAnsi="Calibri" w:cs="Calibri"/>
          <w:color w:val="000000"/>
          <w:shd w:val="clear" w:color="auto" w:fill="FFFFFF"/>
        </w:rPr>
        <w:lastRenderedPageBreak/>
        <w:t>Structures (Homes/housing sites, stores/offices, factories, machines, etc.)</w:t>
      </w:r>
      <w:r w:rsidR="00D60374" w:rsidRPr="00D60374">
        <w:rPr>
          <w:rStyle w:val="apple-converted-space"/>
          <w:rFonts w:ascii="Calibri" w:hAnsi="Calibri" w:cs="Calibri"/>
          <w:color w:val="000000"/>
          <w:shd w:val="clear" w:color="auto" w:fill="FFFFFF"/>
        </w:rPr>
        <w:t xml:space="preserve"> </w:t>
      </w:r>
      <w:r w:rsidRPr="00D60374">
        <w:rPr>
          <w:rStyle w:val="apple-converted-space"/>
          <w:rFonts w:ascii="Calibri" w:hAnsi="Calibri" w:cs="Calibri"/>
          <w:color w:val="000000"/>
          <w:shd w:val="clear" w:color="auto" w:fill="FFFFFF"/>
        </w:rPr>
        <w:t>JPY 10.4 trillion</w:t>
      </w:r>
    </w:p>
    <w:p w14:paraId="38F39556" w14:textId="77777777" w:rsidR="00397354" w:rsidRPr="00A97B98" w:rsidRDefault="00397354" w:rsidP="00D60374">
      <w:pPr>
        <w:pStyle w:val="ac"/>
        <w:numPr>
          <w:ilvl w:val="0"/>
          <w:numId w:val="1"/>
        </w:numPr>
        <w:tabs>
          <w:tab w:val="left" w:pos="1276"/>
        </w:tabs>
        <w:ind w:leftChars="0" w:left="993" w:hanging="142"/>
        <w:rPr>
          <w:rStyle w:val="apple-converted-space"/>
          <w:rFonts w:ascii="Calibri" w:hAnsi="Calibri" w:cs="Calibri"/>
          <w:color w:val="000000"/>
          <w:shd w:val="clear" w:color="auto" w:fill="FFFFFF"/>
        </w:rPr>
      </w:pPr>
      <w:r w:rsidRPr="00A97B98">
        <w:rPr>
          <w:rStyle w:val="apple-converted-space"/>
          <w:rFonts w:ascii="Calibri" w:hAnsi="Calibri" w:cs="Calibri"/>
          <w:color w:val="000000"/>
          <w:shd w:val="clear" w:color="auto" w:fill="FFFFFF"/>
        </w:rPr>
        <w:t xml:space="preserve">Lifeline facilities (Water, gas, electricity, communications/broadcasting facilities) </w:t>
      </w:r>
    </w:p>
    <w:p w14:paraId="73B4C5CD" w14:textId="77777777" w:rsidR="00397354" w:rsidRPr="00A97B98" w:rsidRDefault="00397354" w:rsidP="00397354">
      <w:pPr>
        <w:ind w:leftChars="50" w:left="105" w:firstLineChars="550" w:firstLine="1155"/>
        <w:rPr>
          <w:rStyle w:val="apple-converted-space"/>
          <w:rFonts w:ascii="Calibri" w:hAnsi="Calibri" w:cs="Calibri"/>
          <w:color w:val="000000"/>
          <w:shd w:val="clear" w:color="auto" w:fill="FFFFFF"/>
        </w:rPr>
      </w:pPr>
      <w:r w:rsidRPr="00A97B98">
        <w:rPr>
          <w:rStyle w:val="apple-converted-space"/>
          <w:rFonts w:ascii="Calibri" w:hAnsi="Calibri" w:cs="Calibri"/>
          <w:color w:val="000000"/>
          <w:shd w:val="clear" w:color="auto" w:fill="FFFFFF"/>
        </w:rPr>
        <w:t xml:space="preserve">JPY 1.3 trillion </w:t>
      </w:r>
    </w:p>
    <w:p w14:paraId="405967F0" w14:textId="13152F06" w:rsidR="00397354" w:rsidRPr="00564EBD" w:rsidRDefault="00397354" w:rsidP="00564EBD">
      <w:pPr>
        <w:pStyle w:val="ac"/>
        <w:numPr>
          <w:ilvl w:val="0"/>
          <w:numId w:val="1"/>
        </w:numPr>
        <w:tabs>
          <w:tab w:val="left" w:pos="1276"/>
        </w:tabs>
        <w:ind w:leftChars="50" w:left="105" w:firstLineChars="355" w:firstLine="745"/>
        <w:rPr>
          <w:rStyle w:val="apple-converted-space"/>
          <w:rFonts w:ascii="Calibri" w:hAnsi="Calibri" w:cs="Calibri"/>
          <w:color w:val="000000"/>
          <w:shd w:val="clear" w:color="auto" w:fill="FFFFFF"/>
        </w:rPr>
      </w:pPr>
      <w:r w:rsidRPr="00564EBD">
        <w:rPr>
          <w:rStyle w:val="apple-converted-space"/>
          <w:rFonts w:ascii="Calibri" w:hAnsi="Calibri" w:cs="Calibri"/>
          <w:color w:val="000000"/>
          <w:shd w:val="clear" w:color="auto" w:fill="FFFFFF"/>
        </w:rPr>
        <w:t xml:space="preserve">Infrastructure facilities (Rivers, roads, ports, sewers, airports, etc.) JPY 2.2 trillion </w:t>
      </w:r>
    </w:p>
    <w:p w14:paraId="1A7730F1" w14:textId="0ED9DEFE" w:rsidR="00397354" w:rsidRPr="00564EBD" w:rsidRDefault="00397354" w:rsidP="00564EBD">
      <w:pPr>
        <w:pStyle w:val="ac"/>
        <w:numPr>
          <w:ilvl w:val="0"/>
          <w:numId w:val="1"/>
        </w:numPr>
        <w:ind w:leftChars="406" w:left="1275" w:hangingChars="201" w:hanging="422"/>
        <w:rPr>
          <w:rStyle w:val="apple-converted-space"/>
          <w:rFonts w:ascii="Calibri" w:hAnsi="Calibri" w:cs="Calibri"/>
          <w:color w:val="000000"/>
          <w:shd w:val="clear" w:color="auto" w:fill="FFFFFF"/>
        </w:rPr>
      </w:pPr>
      <w:r w:rsidRPr="00564EBD">
        <w:rPr>
          <w:rStyle w:val="apple-converted-space"/>
          <w:rFonts w:ascii="Calibri" w:hAnsi="Calibri" w:cs="Calibri"/>
          <w:color w:val="000000"/>
          <w:shd w:val="clear" w:color="auto" w:fill="FFFFFF"/>
        </w:rPr>
        <w:t xml:space="preserve">Agriculture, forest, and fisheries-related facilities (Farmland/agricultural facilities, </w:t>
      </w:r>
      <w:r w:rsidR="00564EBD">
        <w:rPr>
          <w:rStyle w:val="apple-converted-space"/>
          <w:rFonts w:ascii="Calibri" w:hAnsi="Calibri" w:cs="Calibri"/>
          <w:color w:val="000000"/>
          <w:shd w:val="clear" w:color="auto" w:fill="FFFFFF"/>
        </w:rPr>
        <w:t xml:space="preserve"> </w:t>
      </w:r>
      <w:r w:rsidRPr="00564EBD">
        <w:rPr>
          <w:rStyle w:val="apple-converted-space"/>
          <w:rFonts w:ascii="Calibri" w:hAnsi="Calibri" w:cs="Calibri"/>
          <w:color w:val="000000"/>
          <w:shd w:val="clear" w:color="auto" w:fill="FFFFFF"/>
        </w:rPr>
        <w:t>forests and fields, fisheries-related facilities, etc.)</w:t>
      </w:r>
      <w:r w:rsidR="00564EBD" w:rsidRPr="00564EBD">
        <w:rPr>
          <w:rStyle w:val="apple-converted-space"/>
          <w:rFonts w:ascii="Calibri" w:hAnsi="Calibri" w:cs="Calibri"/>
          <w:color w:val="000000"/>
          <w:shd w:val="clear" w:color="auto" w:fill="FFFFFF"/>
        </w:rPr>
        <w:t xml:space="preserve"> </w:t>
      </w:r>
      <w:r w:rsidRPr="00564EBD">
        <w:rPr>
          <w:rStyle w:val="apple-converted-space"/>
          <w:rFonts w:ascii="Calibri" w:hAnsi="Calibri" w:cs="Calibri"/>
          <w:color w:val="000000"/>
          <w:shd w:val="clear" w:color="auto" w:fill="FFFFFF"/>
        </w:rPr>
        <w:t xml:space="preserve">JPY 1.9 trillion </w:t>
      </w:r>
    </w:p>
    <w:p w14:paraId="699D570E" w14:textId="47F39E21" w:rsidR="00397354" w:rsidRPr="00A97B98" w:rsidRDefault="00397354" w:rsidP="00397354">
      <w:pPr>
        <w:pStyle w:val="ac"/>
        <w:numPr>
          <w:ilvl w:val="0"/>
          <w:numId w:val="1"/>
        </w:numPr>
        <w:ind w:leftChars="0"/>
        <w:rPr>
          <w:rStyle w:val="apple-converted-space"/>
          <w:rFonts w:ascii="Calibri" w:hAnsi="Calibri" w:cs="Calibri"/>
          <w:color w:val="000000"/>
          <w:shd w:val="clear" w:color="auto" w:fill="FFFFFF"/>
        </w:rPr>
      </w:pPr>
      <w:r w:rsidRPr="00A97B98">
        <w:rPr>
          <w:rStyle w:val="apple-converted-space"/>
          <w:rFonts w:ascii="Calibri" w:hAnsi="Calibri" w:cs="Calibri"/>
          <w:color w:val="000000"/>
          <w:shd w:val="clear" w:color="auto" w:fill="FFFFFF"/>
        </w:rPr>
        <w:t xml:space="preserve">Other (Educational facilities, healthcare/social welfare facilities, waste treatment facilities, other public facilities) </w:t>
      </w:r>
      <w:r w:rsidR="00564EBD">
        <w:rPr>
          <w:rStyle w:val="apple-converted-space"/>
          <w:rFonts w:ascii="Calibri" w:hAnsi="Calibri" w:cs="Calibri"/>
          <w:color w:val="000000"/>
          <w:shd w:val="clear" w:color="auto" w:fill="FFFFFF"/>
        </w:rPr>
        <w:t>JPY 1.1 trillion</w:t>
      </w:r>
    </w:p>
    <w:p w14:paraId="2765623A" w14:textId="77777777" w:rsidR="00397354" w:rsidRDefault="00397354" w:rsidP="00397354">
      <w:pPr>
        <w:ind w:firstLine="840"/>
        <w:rPr>
          <w:rStyle w:val="apple-converted-space"/>
          <w:rFonts w:ascii="Calibri" w:hAnsi="Calibri" w:cs="Calibri"/>
          <w:color w:val="000000"/>
          <w:shd w:val="clear" w:color="auto" w:fill="FFFFFF"/>
        </w:rPr>
      </w:pPr>
      <w:r>
        <w:rPr>
          <w:rStyle w:val="apple-converted-space"/>
          <w:rFonts w:ascii="Calibri" w:hAnsi="Calibri" w:cs="Calibri"/>
          <w:color w:val="000000"/>
          <w:shd w:val="clear" w:color="auto" w:fill="FFFFFF"/>
        </w:rPr>
        <w:t>The</w:t>
      </w:r>
      <w:r w:rsidRPr="00BC2467">
        <w:rPr>
          <w:rStyle w:val="apple-converted-space"/>
          <w:rFonts w:ascii="Calibri" w:hAnsi="Calibri" w:cs="Calibri"/>
          <w:color w:val="000000"/>
          <w:shd w:val="clear" w:color="auto" w:fill="FFFFFF"/>
        </w:rPr>
        <w:t>s</w:t>
      </w:r>
      <w:r>
        <w:rPr>
          <w:rStyle w:val="apple-converted-space"/>
          <w:rFonts w:ascii="Calibri" w:hAnsi="Calibri" w:cs="Calibri"/>
          <w:color w:val="000000"/>
          <w:shd w:val="clear" w:color="auto" w:fill="FFFFFF"/>
        </w:rPr>
        <w:t>e</w:t>
      </w:r>
      <w:r w:rsidRPr="00BC2467">
        <w:rPr>
          <w:rStyle w:val="apple-converted-space"/>
          <w:rFonts w:ascii="Calibri" w:hAnsi="Calibri" w:cs="Calibri"/>
          <w:color w:val="000000"/>
          <w:shd w:val="clear" w:color="auto" w:fill="FFFFFF"/>
        </w:rPr>
        <w:t xml:space="preserve"> estimates</w:t>
      </w:r>
      <w:r>
        <w:rPr>
          <w:rStyle w:val="apple-converted-space"/>
          <w:rFonts w:ascii="Calibri" w:hAnsi="Calibri" w:cs="Calibri"/>
          <w:color w:val="000000"/>
          <w:shd w:val="clear" w:color="auto" w:fill="FFFFFF"/>
        </w:rPr>
        <w:t xml:space="preserve"> relate to </w:t>
      </w:r>
      <w:r w:rsidRPr="00BC2467">
        <w:rPr>
          <w:rStyle w:val="apple-converted-space"/>
          <w:rFonts w:ascii="Calibri" w:hAnsi="Calibri" w:cs="Calibri"/>
          <w:color w:val="000000"/>
          <w:shd w:val="clear" w:color="auto" w:fill="FFFFFF"/>
        </w:rPr>
        <w:t>damages caused by natural events i.e. earthquake and tsunami of the Great East Japan Earthquake and Tsunami of 2011</w:t>
      </w:r>
      <w:r>
        <w:rPr>
          <w:rStyle w:val="apple-converted-space"/>
          <w:rFonts w:ascii="Calibri" w:hAnsi="Calibri" w:cs="Calibri"/>
          <w:color w:val="000000"/>
          <w:shd w:val="clear" w:color="auto" w:fill="FFFFFF"/>
        </w:rPr>
        <w:t xml:space="preserve">, but not to the Fukushima nuclear accident. The government estimates at present that the current </w:t>
      </w:r>
      <w:r w:rsidRPr="003B489B">
        <w:rPr>
          <w:rStyle w:val="apple-converted-space"/>
          <w:rFonts w:ascii="Calibri" w:hAnsi="Calibri" w:cs="Calibri"/>
          <w:color w:val="000000"/>
          <w:shd w:val="clear" w:color="auto" w:fill="FFFFFF"/>
        </w:rPr>
        <w:t>Process for Reconstruction</w:t>
      </w:r>
      <w:r>
        <w:rPr>
          <w:rStyle w:val="apple-converted-space"/>
          <w:rFonts w:ascii="Calibri" w:hAnsi="Calibri" w:cs="Calibri"/>
          <w:color w:val="000000"/>
          <w:shd w:val="clear" w:color="auto" w:fill="FFFFFF"/>
        </w:rPr>
        <w:t xml:space="preserve"> from 2011 to 2020 will require some 27.2 trillion dollars US net of the gross costs for recovery and reconstruction cost at 32 trillion dollars US</w:t>
      </w:r>
      <w:r w:rsidR="00E560D5">
        <w:rPr>
          <w:rStyle w:val="aa"/>
          <w:rFonts w:ascii="Calibri" w:hAnsi="Calibri" w:cs="Calibri"/>
          <w:color w:val="000000"/>
          <w:shd w:val="clear" w:color="auto" w:fill="FFFFFF"/>
        </w:rPr>
        <w:footnoteReference w:id="9"/>
      </w:r>
      <w:r>
        <w:rPr>
          <w:rStyle w:val="apple-converted-space"/>
          <w:rFonts w:ascii="Calibri" w:hAnsi="Calibri" w:cs="Calibri"/>
          <w:color w:val="000000"/>
          <w:shd w:val="clear" w:color="auto" w:fill="FFFFFF"/>
        </w:rPr>
        <w:t xml:space="preserve"> inclusive of some 4.8 trillion dollars US defraying a portion of nuclear disaster recovery work to be borne by TEPCO. </w:t>
      </w:r>
      <w:r w:rsidRPr="003B489B">
        <w:rPr>
          <w:rStyle w:val="apple-converted-space"/>
          <w:rFonts w:ascii="Calibri" w:hAnsi="Calibri" w:cs="Calibri"/>
          <w:color w:val="000000"/>
          <w:shd w:val="clear" w:color="auto" w:fill="FFFFFF"/>
        </w:rPr>
        <w:t xml:space="preserve"> </w:t>
      </w:r>
    </w:p>
    <w:p w14:paraId="77761459" w14:textId="77777777" w:rsidR="00397354" w:rsidRDefault="00397354" w:rsidP="00397354">
      <w:pPr>
        <w:ind w:firstLine="840"/>
        <w:rPr>
          <w:rStyle w:val="apple-converted-space"/>
          <w:rFonts w:ascii="Calibri" w:hAnsi="Calibri" w:cs="Calibri"/>
          <w:color w:val="000000"/>
          <w:shd w:val="clear" w:color="auto" w:fill="FFFFFF"/>
        </w:rPr>
      </w:pPr>
    </w:p>
    <w:p w14:paraId="07F78CE7" w14:textId="77777777" w:rsidR="00397354" w:rsidRDefault="00397354" w:rsidP="00397354">
      <w:pPr>
        <w:ind w:firstLine="840"/>
        <w:rPr>
          <w:rStyle w:val="apple-converted-space"/>
          <w:rFonts w:ascii="Calibri" w:hAnsi="Calibri" w:cs="Calibri"/>
          <w:color w:val="000000"/>
          <w:shd w:val="clear" w:color="auto" w:fill="FFFFFF"/>
        </w:rPr>
      </w:pPr>
      <w:r w:rsidRPr="000D03F2">
        <w:rPr>
          <w:rStyle w:val="apple-converted-space"/>
          <w:rFonts w:ascii="Calibri" w:hAnsi="Calibri" w:cs="Calibri"/>
          <w:color w:val="000000"/>
          <w:shd w:val="clear" w:color="auto" w:fill="FFFFFF"/>
        </w:rPr>
        <w:t xml:space="preserve">The Great East Japan Earthquake and Tsunami severely damaged the Fukushima Daiichi Nuclear Power Plant 1 owned and operated by the Tokyo Electric Power Company (TEPCO), resulting in a large release of radioactivity into the environment. Due to the complexity </w:t>
      </w:r>
      <w:r w:rsidRPr="000D03F2">
        <w:rPr>
          <w:rStyle w:val="apple-converted-space"/>
          <w:rFonts w:ascii="Calibri" w:hAnsi="Calibri" w:cs="Calibri" w:hint="eastAsia"/>
          <w:color w:val="000000"/>
          <w:shd w:val="clear" w:color="auto" w:fill="FFFFFF"/>
        </w:rPr>
        <w:t xml:space="preserve">of </w:t>
      </w:r>
      <w:r w:rsidRPr="000D03F2">
        <w:rPr>
          <w:rStyle w:val="apple-converted-space"/>
          <w:rFonts w:ascii="Calibri" w:hAnsi="Calibri" w:cs="Calibri"/>
          <w:color w:val="000000"/>
          <w:shd w:val="clear" w:color="auto" w:fill="FFFFFF"/>
        </w:rPr>
        <w:t>compensation issues involved in man-made radiation incident inducing multi-hazards on human livelihood and ecosystem in the affected area,</w:t>
      </w:r>
      <w:r>
        <w:rPr>
          <w:rStyle w:val="apple-converted-space"/>
          <w:rFonts w:ascii="Calibri" w:hAnsi="Calibri" w:cs="Calibri"/>
          <w:color w:val="000000"/>
          <w:shd w:val="clear" w:color="auto" w:fill="FFFFFF"/>
        </w:rPr>
        <w:t xml:space="preserve"> TEPCO in consultation with the government entities </w:t>
      </w:r>
      <w:r w:rsidR="00A11E4D">
        <w:rPr>
          <w:rStyle w:val="apple-converted-space"/>
          <w:rFonts w:ascii="Calibri" w:hAnsi="Calibri" w:cs="Calibri"/>
          <w:color w:val="000000"/>
          <w:shd w:val="clear" w:color="auto" w:fill="FFFFFF"/>
        </w:rPr>
        <w:t xml:space="preserve">has mooted </w:t>
      </w:r>
      <w:r>
        <w:rPr>
          <w:rStyle w:val="apple-converted-space"/>
          <w:rFonts w:ascii="Calibri" w:hAnsi="Calibri" w:cs="Calibri"/>
          <w:color w:val="000000"/>
          <w:shd w:val="clear" w:color="auto" w:fill="FFFFFF"/>
        </w:rPr>
        <w:t xml:space="preserve">a separate cost assessment of damages caused by </w:t>
      </w:r>
      <w:r w:rsidRPr="00BC2467">
        <w:rPr>
          <w:rStyle w:val="apple-converted-space"/>
          <w:rFonts w:ascii="Calibri" w:hAnsi="Calibri" w:cs="Calibri"/>
          <w:color w:val="000000"/>
          <w:shd w:val="clear" w:color="auto" w:fill="FFFFFF"/>
        </w:rPr>
        <w:t xml:space="preserve">the Fukushima </w:t>
      </w:r>
      <w:r>
        <w:rPr>
          <w:rStyle w:val="apple-converted-space"/>
          <w:rFonts w:ascii="Calibri" w:hAnsi="Calibri" w:cs="Calibri"/>
          <w:color w:val="000000"/>
          <w:shd w:val="clear" w:color="auto" w:fill="FFFFFF"/>
        </w:rPr>
        <w:t xml:space="preserve">Daiichi Nuclear reactors’ </w:t>
      </w:r>
      <w:r w:rsidRPr="00BC2467">
        <w:rPr>
          <w:rStyle w:val="apple-converted-space"/>
          <w:rFonts w:ascii="Calibri" w:hAnsi="Calibri" w:cs="Calibri"/>
          <w:color w:val="000000"/>
          <w:shd w:val="clear" w:color="auto" w:fill="FFFFFF"/>
        </w:rPr>
        <w:t xml:space="preserve">disaster </w:t>
      </w:r>
      <w:r w:rsidR="00A11E4D">
        <w:rPr>
          <w:rStyle w:val="apple-converted-space"/>
          <w:rFonts w:ascii="Calibri" w:hAnsi="Calibri" w:cs="Calibri"/>
          <w:color w:val="000000"/>
          <w:shd w:val="clear" w:color="auto" w:fill="FFFFFF"/>
        </w:rPr>
        <w:t xml:space="preserve">that </w:t>
      </w:r>
      <w:r>
        <w:rPr>
          <w:rStyle w:val="apple-converted-space"/>
          <w:rFonts w:ascii="Calibri" w:hAnsi="Calibri" w:cs="Calibri"/>
          <w:color w:val="000000"/>
          <w:shd w:val="clear" w:color="auto" w:fill="FFFFFF"/>
        </w:rPr>
        <w:t xml:space="preserve">stands at 13.3 trillion yen, but seems to rise to a level of 22 trillion yen as discussed </w:t>
      </w:r>
      <w:r w:rsidR="00893934">
        <w:rPr>
          <w:rStyle w:val="apple-converted-space"/>
          <w:rFonts w:ascii="Calibri" w:hAnsi="Calibri" w:cs="Calibri"/>
          <w:color w:val="000000"/>
          <w:shd w:val="clear" w:color="auto" w:fill="FFFFFF"/>
        </w:rPr>
        <w:t xml:space="preserve">in Box 1. </w:t>
      </w:r>
      <w:r>
        <w:rPr>
          <w:rStyle w:val="apple-converted-space"/>
          <w:rFonts w:ascii="Calibri" w:hAnsi="Calibri" w:cs="Calibri"/>
          <w:color w:val="000000"/>
          <w:shd w:val="clear" w:color="auto" w:fill="FFFFFF"/>
        </w:rPr>
        <w:t xml:space="preserve">It would be significant to note that the cost of damage caused by a single man-made hazard may eventually either equate to the total cost of damages or surpass individual costs of sectoral damages caused by </w:t>
      </w:r>
      <w:r>
        <w:rPr>
          <w:rStyle w:val="apple-converted-space"/>
          <w:rFonts w:ascii="Calibri" w:hAnsi="Calibri" w:cs="Calibri" w:hint="eastAsia"/>
          <w:color w:val="000000"/>
          <w:shd w:val="clear" w:color="auto" w:fill="FFFFFF"/>
        </w:rPr>
        <w:t xml:space="preserve">the </w:t>
      </w:r>
      <w:r>
        <w:rPr>
          <w:rStyle w:val="apple-converted-space"/>
          <w:rFonts w:ascii="Calibri" w:hAnsi="Calibri" w:cs="Calibri"/>
          <w:color w:val="000000"/>
          <w:shd w:val="clear" w:color="auto" w:fill="FFFFFF"/>
        </w:rPr>
        <w:t xml:space="preserve">natural hazards.  </w:t>
      </w:r>
    </w:p>
    <w:p w14:paraId="05769555" w14:textId="77777777" w:rsidR="007D777B" w:rsidRDefault="007D777B" w:rsidP="001677AB">
      <w:pPr>
        <w:autoSpaceDE w:val="0"/>
        <w:autoSpaceDN w:val="0"/>
        <w:adjustRightInd w:val="0"/>
        <w:ind w:firstLineChars="50" w:firstLine="105"/>
        <w:rPr>
          <w:rFonts w:ascii="Calibri" w:hAnsi="Calibri" w:cs="Calibri"/>
          <w:color w:val="000000"/>
        </w:rPr>
      </w:pPr>
    </w:p>
    <w:p w14:paraId="14F894BD" w14:textId="50A205A3" w:rsidR="00667A0C" w:rsidRDefault="00F63A1B" w:rsidP="001677AB">
      <w:pPr>
        <w:autoSpaceDE w:val="0"/>
        <w:autoSpaceDN w:val="0"/>
        <w:adjustRightInd w:val="0"/>
        <w:ind w:firstLineChars="50" w:firstLine="105"/>
        <w:rPr>
          <w:rFonts w:ascii="Calibri" w:hAnsi="Calibri" w:cs="Calibri"/>
          <w:color w:val="000000"/>
        </w:rPr>
      </w:pPr>
      <w:r w:rsidRPr="008E3F8C">
        <w:rPr>
          <w:rFonts w:ascii="Calibri" w:hAnsi="Calibri" w:cs="Calibri"/>
          <w:color w:val="000000"/>
        </w:rPr>
        <w:t>To sum up, i</w:t>
      </w:r>
      <w:r w:rsidR="001677AB" w:rsidRPr="008E3F8C">
        <w:rPr>
          <w:rFonts w:ascii="Calibri" w:hAnsi="Calibri" w:cs="Calibri"/>
          <w:color w:val="000000"/>
        </w:rPr>
        <w:t xml:space="preserve">n the intermediate phase, the primary concerns are </w:t>
      </w:r>
      <w:r w:rsidRPr="008E3F8C">
        <w:rPr>
          <w:rFonts w:ascii="Calibri" w:hAnsi="Calibri" w:cs="Calibri"/>
          <w:color w:val="000000"/>
        </w:rPr>
        <w:t xml:space="preserve">with </w:t>
      </w:r>
      <w:r w:rsidR="001677AB" w:rsidRPr="008E3F8C">
        <w:rPr>
          <w:rFonts w:ascii="Calibri" w:hAnsi="Calibri" w:cs="Calibri"/>
          <w:color w:val="000000"/>
        </w:rPr>
        <w:t xml:space="preserve">sheltering, relocation, control of the radioactively contaminated environment, and foods or drinking water intake controls. In the late response and early recovery phases, long term management and monitoring are necessary to lay </w:t>
      </w:r>
      <w:r w:rsidR="001677AB" w:rsidRPr="008E3F8C">
        <w:rPr>
          <w:rFonts w:ascii="Calibri" w:hAnsi="Calibri" w:cs="Calibri"/>
          <w:color w:val="000000"/>
        </w:rPr>
        <w:lastRenderedPageBreak/>
        <w:t>the foundation for the long recovery process.</w:t>
      </w:r>
      <w:r w:rsidRPr="008E3F8C">
        <w:rPr>
          <w:rFonts w:ascii="Calibri" w:hAnsi="Calibri" w:cs="Calibri"/>
          <w:color w:val="000000"/>
        </w:rPr>
        <w:t xml:space="preserve"> In this context, continued public health tracking is </w:t>
      </w:r>
      <w:r w:rsidR="008E3F8C" w:rsidRPr="008E3F8C">
        <w:rPr>
          <w:rFonts w:ascii="Calibri" w:hAnsi="Calibri" w:cs="Calibri"/>
          <w:color w:val="000000"/>
        </w:rPr>
        <w:t xml:space="preserve">the </w:t>
      </w:r>
      <w:r w:rsidR="008E3F8C" w:rsidRPr="008E3F8C">
        <w:rPr>
          <w:rFonts w:ascii="Calibri" w:hAnsi="Calibri" w:cs="Calibri"/>
          <w:i/>
          <w:color w:val="000000"/>
        </w:rPr>
        <w:t>sine qua non</w:t>
      </w:r>
      <w:r w:rsidR="008E3F8C" w:rsidRPr="008E3F8C">
        <w:rPr>
          <w:rFonts w:ascii="Calibri" w:hAnsi="Calibri" w:cs="Calibri"/>
          <w:color w:val="000000"/>
        </w:rPr>
        <w:t xml:space="preserve"> of the long-term health of exposed populations.</w:t>
      </w:r>
    </w:p>
    <w:tbl>
      <w:tblPr>
        <w:tblpPr w:leftFromText="142" w:rightFromText="142" w:vertAnchor="text" w:horzAnchor="margin" w:tblpY="-877"/>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5"/>
      </w:tblGrid>
      <w:tr w:rsidR="00B5439F" w14:paraId="05E560DC" w14:textId="77777777" w:rsidTr="001F1C9C">
        <w:trPr>
          <w:trHeight w:val="8773"/>
        </w:trPr>
        <w:tc>
          <w:tcPr>
            <w:tcW w:w="8425" w:type="dxa"/>
          </w:tcPr>
          <w:p w14:paraId="53B25091" w14:textId="77777777" w:rsidR="001F1C9C" w:rsidRPr="00B5439F" w:rsidRDefault="001F1C9C" w:rsidP="001F1C9C">
            <w:pPr>
              <w:autoSpaceDE w:val="0"/>
              <w:autoSpaceDN w:val="0"/>
              <w:adjustRightInd w:val="0"/>
              <w:rPr>
                <w:rFonts w:ascii="Calibri" w:hAnsi="Calibri" w:cs="Calibri"/>
                <w:b/>
                <w:color w:val="000000"/>
              </w:rPr>
            </w:pPr>
            <w:r w:rsidRPr="00B5439F">
              <w:rPr>
                <w:rFonts w:ascii="Calibri" w:hAnsi="Calibri" w:cs="Calibri"/>
                <w:b/>
                <w:color w:val="000000"/>
              </w:rPr>
              <w:lastRenderedPageBreak/>
              <w:t xml:space="preserve">Box 1 </w:t>
            </w:r>
            <w:r w:rsidRPr="00B5439F">
              <w:rPr>
                <w:rFonts w:ascii="Calibri" w:eastAsia="PMingLiU" w:hAnsi="Calibri" w:cs="Calibri"/>
                <w:b/>
                <w:color w:val="5B9BD5" w:themeColor="accent1"/>
                <w:lang w:eastAsia="zh-TW"/>
              </w:rPr>
              <w:t xml:space="preserve"> Estimates of the total economic loss caused</w:t>
            </w:r>
            <w:r w:rsidRPr="00B5439F">
              <w:rPr>
                <w:rFonts w:ascii="Calibri" w:hAnsi="Calibri" w:cs="Calibri"/>
                <w:b/>
                <w:color w:val="5B9BD5" w:themeColor="accent1"/>
              </w:rPr>
              <w:t xml:space="preserve"> by</w:t>
            </w:r>
            <w:r w:rsidRPr="00B5439F">
              <w:rPr>
                <w:rFonts w:ascii="Calibri" w:hAnsi="Calibri" w:cs="Calibri"/>
                <w:b/>
              </w:rPr>
              <w:t xml:space="preserve"> </w:t>
            </w:r>
            <w:r>
              <w:rPr>
                <w:rFonts w:ascii="Calibri" w:hAnsi="Calibri" w:cs="Calibri"/>
                <w:b/>
              </w:rPr>
              <w:t xml:space="preserve">2011 </w:t>
            </w:r>
            <w:r w:rsidRPr="00B5439F">
              <w:rPr>
                <w:rFonts w:ascii="Calibri" w:hAnsi="Calibri" w:cs="Calibri"/>
                <w:b/>
                <w:color w:val="5B9BD5" w:themeColor="accent1"/>
              </w:rPr>
              <w:t>Fukushima Daiichi Nuclear reactors’ disaster</w:t>
            </w:r>
          </w:p>
          <w:p w14:paraId="7AC9BEE3" w14:textId="77777777" w:rsidR="001F1C9C" w:rsidRDefault="001F1C9C" w:rsidP="001F1C9C">
            <w:pPr>
              <w:autoSpaceDE w:val="0"/>
              <w:autoSpaceDN w:val="0"/>
              <w:adjustRightInd w:val="0"/>
              <w:ind w:firstLine="180"/>
              <w:rPr>
                <w:rFonts w:ascii="Calibri" w:eastAsia="PMingLiU" w:hAnsi="Calibri" w:cs="Calibri"/>
                <w:color w:val="5B9BD5" w:themeColor="accent1"/>
                <w:szCs w:val="21"/>
                <w:lang w:eastAsia="zh-TW"/>
              </w:rPr>
            </w:pPr>
            <w:r w:rsidRPr="00DD6611">
              <w:rPr>
                <w:rFonts w:ascii="Calibri" w:eastAsia="PMingLiU" w:hAnsi="Calibri" w:cs="Calibri"/>
                <w:color w:val="5B9BD5" w:themeColor="accent1"/>
                <w:szCs w:val="21"/>
                <w:lang w:eastAsia="zh-TW"/>
              </w:rPr>
              <w:t>The precise value of the abandoned cities, towns, agricultural lands, businesses, homes and property located within the roughly 310 sq miles (800 sq km) of the exclusion zones has not been established. Estimates of the total economic loss range from $250-$500 billion US</w:t>
            </w:r>
            <w:r w:rsidRPr="00DD6611">
              <w:rPr>
                <w:rStyle w:val="aa"/>
                <w:rFonts w:ascii="Calibri" w:eastAsia="PMingLiU" w:hAnsi="Calibri" w:cs="Calibri"/>
                <w:color w:val="5B9BD5" w:themeColor="accent1"/>
                <w:szCs w:val="21"/>
                <w:lang w:eastAsia="zh-TW"/>
              </w:rPr>
              <w:footnoteReference w:id="10"/>
            </w:r>
            <w:r w:rsidRPr="00DD6611">
              <w:rPr>
                <w:rFonts w:ascii="Calibri" w:eastAsia="PMingLiU" w:hAnsi="Calibri" w:cs="Calibri"/>
                <w:color w:val="5B9BD5" w:themeColor="accent1"/>
                <w:szCs w:val="21"/>
                <w:lang w:eastAsia="zh-TW"/>
              </w:rPr>
              <w:t xml:space="preserve">. </w:t>
            </w:r>
          </w:p>
          <w:p w14:paraId="28AD001B" w14:textId="77777777" w:rsidR="001F1C9C" w:rsidRPr="00DD6611" w:rsidRDefault="001F1C9C" w:rsidP="001F1C9C">
            <w:pPr>
              <w:autoSpaceDE w:val="0"/>
              <w:autoSpaceDN w:val="0"/>
              <w:adjustRightInd w:val="0"/>
              <w:ind w:firstLine="180"/>
              <w:rPr>
                <w:rFonts w:ascii="Calibri" w:eastAsia="PMingLiU" w:hAnsi="Calibri" w:cs="Calibri"/>
                <w:color w:val="5B9BD5" w:themeColor="accent1"/>
                <w:szCs w:val="21"/>
                <w:lang w:eastAsia="zh-TW"/>
              </w:rPr>
            </w:pPr>
            <w:r w:rsidRPr="00DD6611">
              <w:rPr>
                <w:rFonts w:ascii="Calibri" w:eastAsia="PMingLiU" w:hAnsi="Calibri" w:cs="Calibri"/>
                <w:color w:val="5B9BD5" w:themeColor="accent1"/>
                <w:szCs w:val="21"/>
                <w:lang w:eastAsia="zh-TW"/>
              </w:rPr>
              <w:t>More precisely, based on the information from TEPCO</w:t>
            </w:r>
            <w:r w:rsidRPr="00DD6611">
              <w:rPr>
                <w:rStyle w:val="aa"/>
                <w:rFonts w:ascii="Calibri" w:eastAsia="PMingLiU" w:hAnsi="Calibri" w:cs="Calibri"/>
                <w:color w:val="5B9BD5" w:themeColor="accent1"/>
                <w:szCs w:val="21"/>
                <w:lang w:eastAsia="zh-TW"/>
              </w:rPr>
              <w:footnoteReference w:id="11"/>
            </w:r>
            <w:r w:rsidRPr="00DD6611">
              <w:rPr>
                <w:rFonts w:ascii="Calibri" w:eastAsia="PMingLiU" w:hAnsi="Calibri" w:cs="Calibri"/>
                <w:color w:val="5B9BD5" w:themeColor="accent1"/>
                <w:szCs w:val="21"/>
                <w:lang w:eastAsia="zh-TW"/>
              </w:rPr>
              <w:t xml:space="preserve"> and the Board of Audit of Japan</w:t>
            </w:r>
            <w:r w:rsidRPr="00DD6611">
              <w:rPr>
                <w:rStyle w:val="aa"/>
                <w:rFonts w:ascii="Calibri" w:eastAsia="PMingLiU" w:hAnsi="Calibri" w:cs="Calibri"/>
                <w:color w:val="5B9BD5" w:themeColor="accent1"/>
                <w:szCs w:val="21"/>
                <w:lang w:eastAsia="zh-TW"/>
              </w:rPr>
              <w:footnoteReference w:id="12"/>
            </w:r>
            <w:r w:rsidRPr="00DD6611">
              <w:rPr>
                <w:rFonts w:ascii="Calibri" w:eastAsia="PMingLiU" w:hAnsi="Calibri" w:cs="Calibri"/>
                <w:color w:val="5B9BD5" w:themeColor="accent1"/>
                <w:szCs w:val="21"/>
                <w:lang w:eastAsia="zh-TW"/>
              </w:rPr>
              <w:t>, Mycle Schneider et al.</w:t>
            </w:r>
            <w:r w:rsidRPr="00DD6611">
              <w:rPr>
                <w:rStyle w:val="aa"/>
                <w:rFonts w:ascii="Calibri" w:eastAsia="PMingLiU" w:hAnsi="Calibri" w:cs="Calibri"/>
                <w:color w:val="5B9BD5" w:themeColor="accent1"/>
                <w:szCs w:val="21"/>
                <w:lang w:eastAsia="zh-TW"/>
              </w:rPr>
              <w:footnoteReference w:id="13"/>
            </w:r>
            <w:r>
              <w:rPr>
                <w:rFonts w:ascii="Calibri" w:eastAsia="PMingLiU" w:hAnsi="Calibri" w:cs="Calibri"/>
                <w:color w:val="5B9BD5" w:themeColor="accent1"/>
                <w:szCs w:val="21"/>
                <w:lang w:eastAsia="zh-TW"/>
              </w:rPr>
              <w:t>,</w:t>
            </w:r>
            <w:r w:rsidRPr="00DD6611">
              <w:rPr>
                <w:rFonts w:ascii="Calibri" w:eastAsia="PMingLiU" w:hAnsi="Calibri" w:cs="Calibri"/>
                <w:color w:val="5B9BD5" w:themeColor="accent1"/>
                <w:szCs w:val="21"/>
                <w:lang w:eastAsia="zh-TW"/>
              </w:rPr>
              <w:t xml:space="preserve"> estimated in their World Nuclear Industry Status Report 2016 that the total cost of damages caused by the Fukushima </w:t>
            </w:r>
            <w:r>
              <w:rPr>
                <w:rFonts w:ascii="Calibri" w:eastAsia="PMingLiU" w:hAnsi="Calibri" w:cs="Calibri"/>
                <w:color w:val="5B9BD5" w:themeColor="accent1"/>
                <w:szCs w:val="21"/>
                <w:lang w:eastAsia="zh-TW"/>
              </w:rPr>
              <w:t xml:space="preserve">nuclear power </w:t>
            </w:r>
            <w:r w:rsidRPr="00DD6611">
              <w:rPr>
                <w:rFonts w:ascii="Calibri" w:eastAsia="PMingLiU" w:hAnsi="Calibri" w:cs="Calibri"/>
                <w:color w:val="5B9BD5" w:themeColor="accent1"/>
                <w:szCs w:val="21"/>
                <w:lang w:eastAsia="zh-TW"/>
              </w:rPr>
              <w:t>disaster was 13.3 trillion yen (US$ 133 billion), based on the following items:</w:t>
            </w:r>
          </w:p>
          <w:p w14:paraId="0FE9C62E" w14:textId="77777777" w:rsidR="001F1C9C" w:rsidRPr="00DD6611" w:rsidRDefault="001F1C9C" w:rsidP="001F1C9C">
            <w:pPr>
              <w:autoSpaceDE w:val="0"/>
              <w:autoSpaceDN w:val="0"/>
              <w:adjustRightInd w:val="0"/>
              <w:ind w:leftChars="153" w:left="1312" w:hanging="991"/>
              <w:rPr>
                <w:rFonts w:ascii="Calibri" w:eastAsia="PMingLiU" w:hAnsi="Calibri" w:cs="Calibri"/>
                <w:color w:val="5B9BD5" w:themeColor="accent1"/>
                <w:szCs w:val="21"/>
                <w:lang w:eastAsia="zh-TW"/>
              </w:rPr>
            </w:pPr>
            <w:r w:rsidRPr="00DD6611">
              <w:rPr>
                <w:rFonts w:ascii="Calibri" w:eastAsia="PMingLiU" w:hAnsi="Calibri" w:cs="Calibri"/>
                <w:color w:val="5B9BD5" w:themeColor="accent1"/>
                <w:szCs w:val="21"/>
                <w:lang w:eastAsia="zh-TW"/>
              </w:rPr>
              <w:t xml:space="preserve">(1) Decommissioning and contaminated water treatment costs of 2 trillion yen </w:t>
            </w:r>
            <w:r>
              <w:rPr>
                <w:rFonts w:ascii="Calibri" w:eastAsia="PMingLiU" w:hAnsi="Calibri" w:cs="Calibri"/>
                <w:color w:val="5B9BD5" w:themeColor="accent1"/>
                <w:szCs w:val="21"/>
                <w:lang w:eastAsia="zh-TW"/>
              </w:rPr>
              <w:t>(US$ 20</w:t>
            </w:r>
            <w:r w:rsidRPr="00DD6611">
              <w:rPr>
                <w:rFonts w:ascii="Calibri" w:eastAsia="PMingLiU" w:hAnsi="Calibri" w:cs="Calibri"/>
                <w:color w:val="5B9BD5" w:themeColor="accent1"/>
                <w:szCs w:val="21"/>
                <w:lang w:eastAsia="zh-TW"/>
              </w:rPr>
              <w:t xml:space="preserve"> billion. </w:t>
            </w:r>
          </w:p>
          <w:p w14:paraId="1664994C" w14:textId="77777777" w:rsidR="001F1C9C" w:rsidRPr="00DD6611" w:rsidRDefault="001F1C9C" w:rsidP="001F1C9C">
            <w:pPr>
              <w:autoSpaceDE w:val="0"/>
              <w:autoSpaceDN w:val="0"/>
              <w:adjustRightInd w:val="0"/>
              <w:ind w:leftChars="153" w:left="1312" w:hanging="991"/>
              <w:rPr>
                <w:rFonts w:ascii="Calibri" w:eastAsia="PMingLiU" w:hAnsi="Calibri" w:cs="Calibri"/>
                <w:color w:val="5B9BD5" w:themeColor="accent1"/>
                <w:szCs w:val="21"/>
                <w:lang w:eastAsia="zh-TW"/>
              </w:rPr>
            </w:pPr>
            <w:r w:rsidRPr="00DD6611">
              <w:rPr>
                <w:rFonts w:ascii="Calibri" w:eastAsia="PMingLiU" w:hAnsi="Calibri" w:cs="Calibri"/>
                <w:color w:val="5B9BD5" w:themeColor="accent1"/>
                <w:szCs w:val="21"/>
                <w:lang w:eastAsia="zh-TW"/>
              </w:rPr>
              <w:t xml:space="preserve">(2) Compensation costs of about 7.1 trillion yen (US$ 71 billion). </w:t>
            </w:r>
          </w:p>
          <w:p w14:paraId="2C59B022" w14:textId="77777777" w:rsidR="001F1C9C" w:rsidRPr="00DD6611" w:rsidRDefault="001F1C9C" w:rsidP="001F1C9C">
            <w:pPr>
              <w:autoSpaceDE w:val="0"/>
              <w:autoSpaceDN w:val="0"/>
              <w:adjustRightInd w:val="0"/>
              <w:ind w:leftChars="153" w:left="531" w:hangingChars="100" w:hanging="210"/>
              <w:rPr>
                <w:rFonts w:ascii="Calibri" w:eastAsia="PMingLiU" w:hAnsi="Calibri" w:cs="Calibri"/>
                <w:color w:val="5B9BD5" w:themeColor="accent1"/>
                <w:szCs w:val="21"/>
                <w:lang w:eastAsia="zh-TW"/>
              </w:rPr>
            </w:pPr>
            <w:r w:rsidRPr="00DD6611">
              <w:rPr>
                <w:rFonts w:ascii="Calibri" w:eastAsia="PMingLiU" w:hAnsi="Calibri" w:cs="Calibri"/>
                <w:color w:val="5B9BD5" w:themeColor="accent1"/>
                <w:szCs w:val="21"/>
                <w:lang w:eastAsia="zh-TW"/>
              </w:rPr>
              <w:t>(3) Decontamination costs of 3.6 trillion yen (US$ 36 billion): decontamination cost at about 2.5 trillion yen (US$ 25 billion) and the interim storage facilities cost at about 1.1 trillion yen (US$ 11 billion).</w:t>
            </w:r>
          </w:p>
          <w:p w14:paraId="07C6D2AF" w14:textId="77777777" w:rsidR="001F1C9C" w:rsidRPr="00DD6611" w:rsidRDefault="001F1C9C" w:rsidP="001F1C9C">
            <w:pPr>
              <w:autoSpaceDE w:val="0"/>
              <w:autoSpaceDN w:val="0"/>
              <w:adjustRightInd w:val="0"/>
              <w:ind w:firstLine="180"/>
              <w:rPr>
                <w:rFonts w:ascii="Calibri" w:hAnsi="Calibri" w:cs="Calibri"/>
                <w:color w:val="5B9BD5" w:themeColor="accent1"/>
                <w:szCs w:val="21"/>
              </w:rPr>
            </w:pPr>
            <w:r w:rsidRPr="00DD6611">
              <w:rPr>
                <w:rFonts w:ascii="Calibri" w:hAnsi="Calibri" w:cs="Calibri"/>
                <w:color w:val="5B9BD5" w:themeColor="accent1"/>
                <w:szCs w:val="21"/>
              </w:rPr>
              <w:t>Furthermore, TEPCO submitted to the Government in its “New Second Comprehensive Special Business Plan”</w:t>
            </w:r>
            <w:r>
              <w:rPr>
                <w:rStyle w:val="aa"/>
                <w:rFonts w:ascii="Calibri" w:hAnsi="Calibri" w:cs="Calibri"/>
                <w:color w:val="5B9BD5" w:themeColor="accent1"/>
                <w:szCs w:val="21"/>
              </w:rPr>
              <w:footnoteReference w:id="14"/>
            </w:r>
            <w:r w:rsidRPr="00DD6611">
              <w:rPr>
                <w:rFonts w:ascii="Calibri" w:hAnsi="Calibri" w:cs="Calibri"/>
                <w:color w:val="5B9BD5" w:themeColor="accent1"/>
                <w:szCs w:val="21"/>
              </w:rPr>
              <w:t xml:space="preserve"> an up-dated 22 trillion yen (US$220billion) estimates of cost that reflect delay in removal of melt-downed debris and lifting of evacuation orders in the contaminated zones. The break-down of the amount is as follows:</w:t>
            </w:r>
          </w:p>
          <w:p w14:paraId="718D3E3E" w14:textId="77777777" w:rsidR="001F1C9C" w:rsidRPr="00DD6611" w:rsidRDefault="001F1C9C" w:rsidP="001F1C9C">
            <w:pPr>
              <w:autoSpaceDE w:val="0"/>
              <w:autoSpaceDN w:val="0"/>
              <w:adjustRightInd w:val="0"/>
              <w:ind w:leftChars="154" w:left="459" w:hangingChars="65" w:hanging="136"/>
              <w:rPr>
                <w:rFonts w:ascii="Calibri" w:hAnsi="Calibri" w:cs="Calibri"/>
                <w:color w:val="5B9BD5" w:themeColor="accent1"/>
                <w:szCs w:val="21"/>
              </w:rPr>
            </w:pPr>
            <w:r w:rsidRPr="00DD6611">
              <w:rPr>
                <w:rFonts w:ascii="Calibri" w:hAnsi="Calibri" w:cs="Calibri"/>
                <w:color w:val="5B9BD5" w:themeColor="accent1"/>
                <w:szCs w:val="21"/>
              </w:rPr>
              <w:t>(1) Decommissioning and contaminated water treatment costs of 8 trillion yen</w:t>
            </w:r>
            <w:r w:rsidRPr="00DD6611">
              <w:rPr>
                <w:rFonts w:ascii="Calibri" w:hAnsi="Calibri" w:cs="Calibri"/>
                <w:szCs w:val="21"/>
              </w:rPr>
              <w:t xml:space="preserve"> </w:t>
            </w:r>
            <w:r w:rsidRPr="00DD6611">
              <w:rPr>
                <w:rFonts w:ascii="Calibri" w:hAnsi="Calibri" w:cs="Calibri"/>
                <w:color w:val="5B9BD5" w:themeColor="accent1"/>
                <w:szCs w:val="21"/>
              </w:rPr>
              <w:t xml:space="preserve">(US$80 billion). </w:t>
            </w:r>
          </w:p>
          <w:p w14:paraId="5299B2FA" w14:textId="77777777" w:rsidR="001F1C9C" w:rsidRPr="00DD6611" w:rsidRDefault="001F1C9C" w:rsidP="001F1C9C">
            <w:pPr>
              <w:autoSpaceDE w:val="0"/>
              <w:autoSpaceDN w:val="0"/>
              <w:adjustRightInd w:val="0"/>
              <w:ind w:leftChars="154" w:left="459" w:hangingChars="65" w:hanging="136"/>
              <w:rPr>
                <w:rFonts w:ascii="Calibri" w:hAnsi="Calibri" w:cs="Calibri"/>
                <w:color w:val="5B9BD5" w:themeColor="accent1"/>
                <w:szCs w:val="21"/>
              </w:rPr>
            </w:pPr>
            <w:r w:rsidRPr="00DD6611">
              <w:rPr>
                <w:rFonts w:ascii="Calibri" w:hAnsi="Calibri" w:cs="Calibri"/>
                <w:color w:val="5B9BD5" w:themeColor="accent1"/>
                <w:szCs w:val="21"/>
              </w:rPr>
              <w:t xml:space="preserve">(2) Compensation costs of about 8 trillion yen (US$80 billion). </w:t>
            </w:r>
          </w:p>
          <w:p w14:paraId="6D7414BB" w14:textId="77777777" w:rsidR="001F1C9C" w:rsidRPr="00DD6611" w:rsidRDefault="001F1C9C" w:rsidP="001F1C9C">
            <w:pPr>
              <w:autoSpaceDE w:val="0"/>
              <w:autoSpaceDN w:val="0"/>
              <w:adjustRightInd w:val="0"/>
              <w:ind w:leftChars="154" w:left="459" w:hangingChars="65" w:hanging="136"/>
              <w:rPr>
                <w:rFonts w:ascii="Calibri" w:hAnsi="Calibri" w:cs="Calibri"/>
                <w:color w:val="5B9BD5" w:themeColor="accent1"/>
                <w:szCs w:val="21"/>
              </w:rPr>
            </w:pPr>
            <w:r w:rsidRPr="00DD6611">
              <w:rPr>
                <w:rFonts w:ascii="Calibri" w:hAnsi="Calibri" w:cs="Calibri"/>
                <w:color w:val="5B9BD5" w:themeColor="accent1"/>
                <w:szCs w:val="21"/>
              </w:rPr>
              <w:t>(3) Decontamination costs of 6 trillion yen (US$ 60 billion) including the interim storage facilities cost.</w:t>
            </w:r>
          </w:p>
          <w:p w14:paraId="77189A53" w14:textId="194C4A10" w:rsidR="00B5439F" w:rsidRPr="00893934" w:rsidRDefault="001F1C9C" w:rsidP="001F1C9C">
            <w:pPr>
              <w:autoSpaceDE w:val="0"/>
              <w:autoSpaceDN w:val="0"/>
              <w:adjustRightInd w:val="0"/>
              <w:rPr>
                <w:rFonts w:ascii="Calibri" w:hAnsi="Calibri" w:cs="Calibri"/>
                <w:color w:val="000000"/>
              </w:rPr>
            </w:pPr>
            <w:r w:rsidRPr="00DD6611">
              <w:rPr>
                <w:rFonts w:ascii="Calibri" w:hAnsi="Calibri" w:cs="Calibri"/>
                <w:color w:val="5B9BD5" w:themeColor="accent1"/>
                <w:szCs w:val="21"/>
              </w:rPr>
              <w:t xml:space="preserve">  </w:t>
            </w:r>
            <w:r w:rsidRPr="00354C9B">
              <w:rPr>
                <w:rFonts w:ascii="Calibri" w:hAnsi="Calibri" w:cs="Calibri"/>
                <w:color w:val="5B9BD5" w:themeColor="accent1"/>
                <w:szCs w:val="21"/>
              </w:rPr>
              <w:t xml:space="preserve"> </w:t>
            </w:r>
            <w:r w:rsidRPr="00354C9B">
              <w:rPr>
                <w:rFonts w:ascii="Calibri" w:eastAsia="PMingLiU" w:hAnsi="Calibri" w:cs="Calibri"/>
                <w:color w:val="5B9BD5" w:themeColor="accent1"/>
                <w:szCs w:val="21"/>
                <w:lang w:eastAsia="zh-TW"/>
              </w:rPr>
              <w:t>The estimate of the total cost</w:t>
            </w:r>
            <w:r w:rsidRPr="00DD6611">
              <w:rPr>
                <w:rFonts w:ascii="Calibri" w:eastAsia="PMingLiU" w:hAnsi="Calibri" w:cs="Calibri"/>
                <w:color w:val="5B9BD5" w:themeColor="accent1"/>
                <w:szCs w:val="21"/>
                <w:lang w:eastAsia="zh-TW"/>
              </w:rPr>
              <w:t xml:space="preserve"> of damages caused by the Fukushima disaster is significantly high, compared with the rest of cost of damages caused by natural events i.e. earthquake and tsunami of the Great East Japan Earthquake and Tsunami of 2011 which is originally estimated at 16.9 trillion yen.</w:t>
            </w:r>
          </w:p>
        </w:tc>
      </w:tr>
    </w:tbl>
    <w:p w14:paraId="79342D24" w14:textId="21D68C82" w:rsidR="001F1C9C" w:rsidRPr="00DD6611" w:rsidRDefault="001F1C9C" w:rsidP="001F1C9C">
      <w:pPr>
        <w:framePr w:hSpace="142" w:wrap="around" w:vAnchor="text" w:hAnchor="page" w:x="1805" w:y="9367"/>
        <w:autoSpaceDE w:val="0"/>
        <w:autoSpaceDN w:val="0"/>
        <w:adjustRightInd w:val="0"/>
        <w:ind w:leftChars="154" w:left="459" w:hangingChars="65" w:hanging="136"/>
        <w:rPr>
          <w:rFonts w:ascii="Calibri" w:hAnsi="Calibri" w:cs="Calibri"/>
          <w:color w:val="5B9BD5" w:themeColor="accent1"/>
          <w:szCs w:val="21"/>
        </w:rPr>
      </w:pPr>
    </w:p>
    <w:p w14:paraId="380F0600" w14:textId="6C02812C" w:rsidR="001F1C9C" w:rsidRDefault="001F1C9C" w:rsidP="001F1C9C">
      <w:pPr>
        <w:widowControl/>
        <w:jc w:val="left"/>
        <w:rPr>
          <w:rFonts w:ascii="Calibri" w:eastAsia="PMingLiU" w:hAnsi="Calibri" w:cs="Times New Roman"/>
          <w:b/>
          <w:color w:val="5B9BD5" w:themeColor="accent1"/>
          <w:lang w:eastAsia="zh-TW"/>
        </w:rPr>
      </w:pPr>
      <w:r w:rsidRPr="00DD6611">
        <w:rPr>
          <w:rFonts w:ascii="Calibri" w:hAnsi="Calibri" w:cs="Calibri"/>
          <w:color w:val="5B9BD5" w:themeColor="accent1"/>
          <w:szCs w:val="21"/>
        </w:rPr>
        <w:t xml:space="preserve">   </w:t>
      </w:r>
    </w:p>
    <w:p w14:paraId="3ED909E1" w14:textId="77777777" w:rsidR="001F1C9C" w:rsidRDefault="001F1C9C" w:rsidP="007711D4">
      <w:pPr>
        <w:autoSpaceDE w:val="0"/>
        <w:autoSpaceDN w:val="0"/>
        <w:adjustRightInd w:val="0"/>
        <w:rPr>
          <w:rFonts w:ascii="Calibri" w:eastAsia="PMingLiU" w:hAnsi="Calibri" w:cs="Times New Roman"/>
          <w:b/>
          <w:color w:val="5B9BD5" w:themeColor="accent1"/>
          <w:lang w:eastAsia="zh-TW"/>
        </w:rPr>
      </w:pPr>
    </w:p>
    <w:p w14:paraId="29D06537" w14:textId="600B9990" w:rsidR="007711D4" w:rsidRPr="000D03F2" w:rsidRDefault="007711D4" w:rsidP="007711D4">
      <w:pPr>
        <w:autoSpaceDE w:val="0"/>
        <w:autoSpaceDN w:val="0"/>
        <w:adjustRightInd w:val="0"/>
        <w:rPr>
          <w:rFonts w:ascii="Calibri" w:eastAsia="PMingLiU" w:hAnsi="Calibri" w:cs="Times New Roman"/>
          <w:b/>
          <w:lang w:eastAsia="zh-TW"/>
        </w:rPr>
      </w:pPr>
      <w:r w:rsidRPr="000D03F2">
        <w:rPr>
          <w:rFonts w:ascii="Calibri" w:eastAsia="PMingLiU" w:hAnsi="Calibri" w:cs="Times New Roman"/>
          <w:b/>
          <w:lang w:eastAsia="zh-TW"/>
        </w:rPr>
        <w:lastRenderedPageBreak/>
        <w:t>Challenges for the Sendai Framework for Disaster Risk Reduction</w:t>
      </w:r>
    </w:p>
    <w:p w14:paraId="3AC7B4D0" w14:textId="77777777" w:rsidR="0045114D" w:rsidRPr="007711D4" w:rsidRDefault="0045114D" w:rsidP="007711D4">
      <w:pPr>
        <w:autoSpaceDE w:val="0"/>
        <w:autoSpaceDN w:val="0"/>
        <w:adjustRightInd w:val="0"/>
        <w:rPr>
          <w:rFonts w:ascii="Calibri" w:eastAsia="PMingLiU" w:hAnsi="Calibri" w:cs="Times New Roman"/>
          <w:b/>
          <w:color w:val="5B9BD5" w:themeColor="accent1"/>
          <w:lang w:eastAsia="zh-TW"/>
        </w:rPr>
      </w:pPr>
    </w:p>
    <w:p w14:paraId="1A70747E" w14:textId="2F6C39FA" w:rsidR="004A5636" w:rsidRPr="000D03F2" w:rsidRDefault="008E3F8C" w:rsidP="00BE4108">
      <w:pPr>
        <w:autoSpaceDE w:val="0"/>
        <w:autoSpaceDN w:val="0"/>
        <w:adjustRightInd w:val="0"/>
        <w:ind w:firstLineChars="400" w:firstLine="840"/>
      </w:pPr>
      <w:r w:rsidRPr="00354C9B">
        <w:t>T</w:t>
      </w:r>
      <w:r w:rsidR="004A5636" w:rsidRPr="00354C9B">
        <w:t>he 2011 Fukushima nuclear power plant disaster reminds us that</w:t>
      </w:r>
      <w:r w:rsidR="004A5636" w:rsidRPr="000D03F2">
        <w:t xml:space="preserve"> even contemporary systems are vulnerable to natural hazards</w:t>
      </w:r>
      <w:r w:rsidR="00782167" w:rsidRPr="000D03F2">
        <w:t>, e.g. earthquakes and tsunami</w:t>
      </w:r>
      <w:r w:rsidR="004A5636" w:rsidRPr="000D03F2">
        <w:t xml:space="preserve">, and are subject to interdependent complexity between natural and human factors. </w:t>
      </w:r>
      <w:r w:rsidR="008F7302" w:rsidRPr="000D03F2">
        <w:t xml:space="preserve">According to international researchers of the United Nations University Institute for the Advanced Study of Sustainability, </w:t>
      </w:r>
      <w:r w:rsidR="00195854" w:rsidRPr="000D03F2">
        <w:t>“</w:t>
      </w:r>
      <w:r w:rsidR="00BC454C" w:rsidRPr="000D03F2">
        <w:t>[</w:t>
      </w:r>
      <w:r w:rsidR="00195854" w:rsidRPr="000D03F2">
        <w:t>The</w:t>
      </w:r>
      <w:r w:rsidR="00BC454C" w:rsidRPr="000D03F2">
        <w:t>]</w:t>
      </w:r>
      <w:r w:rsidR="00195854" w:rsidRPr="000D03F2">
        <w:t xml:space="preserve"> consensus within the DRR community is that t</w:t>
      </w:r>
      <w:r w:rsidR="004A5636" w:rsidRPr="000D03F2">
        <w:t>echnological hazards such as nuclear accidents must be addressed through a multi-hazard approach, considering sequences of risks that can trigger such hazards and their impacts on the surrounding communities and environment.</w:t>
      </w:r>
      <w:r w:rsidR="00195854" w:rsidRPr="000D03F2">
        <w:rPr>
          <w:rStyle w:val="aa"/>
        </w:rPr>
        <w:footnoteReference w:id="15"/>
      </w:r>
      <w:r w:rsidR="00195854" w:rsidRPr="000D03F2">
        <w:t xml:space="preserve">” </w:t>
      </w:r>
      <w:r w:rsidR="008F7302" w:rsidRPr="000D03F2">
        <w:t xml:space="preserve">They also </w:t>
      </w:r>
      <w:r w:rsidR="00F57811" w:rsidRPr="000D03F2">
        <w:t>considered it</w:t>
      </w:r>
      <w:r w:rsidR="00F36024" w:rsidRPr="000D03F2">
        <w:t xml:space="preserve"> necessary to “open up the safety culture in the nuclear industry so that it accommodates the concerns of the surrounding communities”</w:t>
      </w:r>
      <w:r w:rsidR="00F36024" w:rsidRPr="000D03F2">
        <w:rPr>
          <w:rStyle w:val="aa"/>
        </w:rPr>
        <w:footnoteReference w:id="16"/>
      </w:r>
      <w:r w:rsidR="00F36024" w:rsidRPr="000D03F2">
        <w:t>.</w:t>
      </w:r>
    </w:p>
    <w:p w14:paraId="1A072678" w14:textId="1CF0F08C" w:rsidR="00F57811" w:rsidRPr="000D03F2" w:rsidRDefault="001D7FB2" w:rsidP="00F57811">
      <w:pPr>
        <w:ind w:firstLine="840"/>
      </w:pPr>
      <w:r w:rsidRPr="000D03F2">
        <w:t>T</w:t>
      </w:r>
      <w:r w:rsidR="00F57811" w:rsidRPr="000D03F2">
        <w:t>he ISDR secretariat</w:t>
      </w:r>
      <w:r w:rsidRPr="000D03F2">
        <w:t xml:space="preserve"> consider</w:t>
      </w:r>
      <w:r w:rsidR="004E2391" w:rsidRPr="000D03F2">
        <w:t>s</w:t>
      </w:r>
      <w:r w:rsidRPr="000D03F2">
        <w:t xml:space="preserve"> that the 2011 </w:t>
      </w:r>
      <w:r w:rsidR="00F57811" w:rsidRPr="000D03F2">
        <w:t xml:space="preserve">triple disaster </w:t>
      </w:r>
      <w:r w:rsidRPr="000D03F2">
        <w:t>of earthquake, tsunami and nuclear power plant disaster in East Japan</w:t>
      </w:r>
      <w:r w:rsidR="00F57811" w:rsidRPr="000D03F2">
        <w:t>, accelerated an ongoing global shift to a multi-hazard approach to disasters, in which risks are not viewed in isolation but as interlocking parts of a whole.</w:t>
      </w:r>
      <w:r w:rsidR="00F57811" w:rsidRPr="000D03F2">
        <w:rPr>
          <w:rStyle w:val="aa"/>
        </w:rPr>
        <w:footnoteReference w:id="17"/>
      </w:r>
    </w:p>
    <w:p w14:paraId="1E400B88" w14:textId="77777777" w:rsidR="00F57811" w:rsidRPr="004E2391" w:rsidRDefault="00F57811" w:rsidP="00BE4108">
      <w:pPr>
        <w:autoSpaceDE w:val="0"/>
        <w:autoSpaceDN w:val="0"/>
        <w:adjustRightInd w:val="0"/>
        <w:ind w:firstLineChars="400" w:firstLine="840"/>
        <w:rPr>
          <w:color w:val="FF0000"/>
        </w:rPr>
      </w:pPr>
    </w:p>
    <w:p w14:paraId="4C95EA60" w14:textId="4FAB097C" w:rsidR="00452DAD" w:rsidRPr="000D03F2" w:rsidRDefault="000655BF" w:rsidP="00BE4108">
      <w:pPr>
        <w:autoSpaceDE w:val="0"/>
        <w:autoSpaceDN w:val="0"/>
        <w:adjustRightInd w:val="0"/>
        <w:ind w:firstLineChars="400" w:firstLine="840"/>
      </w:pPr>
      <w:r w:rsidRPr="000D03F2">
        <w:t>The ISDR secretariat emphasizes that a multi-hazard approach to disaster risk management underpins the Sendai Framework, the 15-year international blueprint for reducing disaster risk adopted in March 2015 at the Third UN World Conference on</w:t>
      </w:r>
      <w:r w:rsidRPr="000655BF">
        <w:rPr>
          <w:color w:val="FF0000"/>
        </w:rPr>
        <w:t xml:space="preserve"> </w:t>
      </w:r>
      <w:r w:rsidRPr="000D03F2">
        <w:lastRenderedPageBreak/>
        <w:t>Disaster Risk Reduction (WCDRR) in the Japanese city of Sendai, a community that has rebuilt in the wake of the 2011 earthquake and tsunami</w:t>
      </w:r>
      <w:r w:rsidRPr="000D03F2">
        <w:rPr>
          <w:rStyle w:val="aa"/>
        </w:rPr>
        <w:footnoteReference w:id="18"/>
      </w:r>
      <w:r w:rsidRPr="000D03F2">
        <w:t xml:space="preserve">. Although </w:t>
      </w:r>
      <w:r w:rsidR="00F36024" w:rsidRPr="000D03F2">
        <w:t>n</w:t>
      </w:r>
      <w:r w:rsidR="00452DAD" w:rsidRPr="000D03F2">
        <w:t xml:space="preserve">uclear accidents and similar hazards were not </w:t>
      </w:r>
      <w:r w:rsidR="00B756EB" w:rsidRPr="000D03F2">
        <w:t xml:space="preserve">on the official agenda of </w:t>
      </w:r>
      <w:r w:rsidRPr="000D03F2">
        <w:t xml:space="preserve">the </w:t>
      </w:r>
      <w:r w:rsidR="00452DAD" w:rsidRPr="000D03F2">
        <w:t>C</w:t>
      </w:r>
      <w:r w:rsidR="00F36024" w:rsidRPr="000D03F2">
        <w:t>onference</w:t>
      </w:r>
      <w:r w:rsidR="007F6979" w:rsidRPr="000D03F2">
        <w:rPr>
          <w:rStyle w:val="aa"/>
        </w:rPr>
        <w:footnoteReference w:id="19"/>
      </w:r>
      <w:r w:rsidRPr="000D03F2">
        <w:t>,</w:t>
      </w:r>
      <w:r w:rsidR="00B756EB" w:rsidRPr="000D03F2">
        <w:t xml:space="preserve"> </w:t>
      </w:r>
      <w:r w:rsidRPr="000D03F2">
        <w:t>f</w:t>
      </w:r>
      <w:r w:rsidR="000C38FA" w:rsidRPr="000D03F2">
        <w:t xml:space="preserve">ortunately, one </w:t>
      </w:r>
      <w:r w:rsidR="008F7302" w:rsidRPr="000D03F2">
        <w:t xml:space="preserve">of the </w:t>
      </w:r>
      <w:r w:rsidR="000C38FA" w:rsidRPr="000D03F2">
        <w:t>working session</w:t>
      </w:r>
      <w:r w:rsidR="008F7302" w:rsidRPr="000D03F2">
        <w:t>s</w:t>
      </w:r>
      <w:r w:rsidR="000C38FA" w:rsidRPr="000D03F2">
        <w:t xml:space="preserve"> organized by multi-stakeholders addressed </w:t>
      </w:r>
      <w:r w:rsidR="008F7302" w:rsidRPr="000D03F2">
        <w:t xml:space="preserve">a </w:t>
      </w:r>
      <w:r w:rsidR="00F5101D" w:rsidRPr="000D03F2">
        <w:t xml:space="preserve">nuclear emergency issue as </w:t>
      </w:r>
      <w:r w:rsidR="008F7302" w:rsidRPr="000D03F2">
        <w:t>part of discussions of</w:t>
      </w:r>
      <w:r w:rsidR="00F5101D" w:rsidRPr="000D03F2">
        <w:t xml:space="preserve"> Natural hazard triggered technological (Natech) accidents with a presentation by the Government of Japan on its experience </w:t>
      </w:r>
      <w:r w:rsidR="000C38FA" w:rsidRPr="000D03F2">
        <w:t xml:space="preserve">with the </w:t>
      </w:r>
      <w:r w:rsidR="00F5101D" w:rsidRPr="000D03F2">
        <w:t>Fukushima nuclear power plant disaster</w:t>
      </w:r>
      <w:r w:rsidR="009B0E82" w:rsidRPr="000D03F2">
        <w:rPr>
          <w:rStyle w:val="aa"/>
        </w:rPr>
        <w:footnoteReference w:id="20"/>
      </w:r>
      <w:r w:rsidR="00F5101D" w:rsidRPr="000D03F2">
        <w:t xml:space="preserve">. </w:t>
      </w:r>
      <w:r w:rsidR="000C38FA" w:rsidRPr="000D03F2">
        <w:t xml:space="preserve"> </w:t>
      </w:r>
    </w:p>
    <w:p w14:paraId="003AFD3B" w14:textId="02A6E1BA" w:rsidR="000655BF" w:rsidRPr="000D03F2" w:rsidRDefault="00452DAD" w:rsidP="00BE4108">
      <w:pPr>
        <w:autoSpaceDE w:val="0"/>
        <w:autoSpaceDN w:val="0"/>
        <w:adjustRightInd w:val="0"/>
        <w:ind w:firstLineChars="400" w:firstLine="840"/>
      </w:pPr>
      <w:r w:rsidRPr="000D03F2">
        <w:t>T</w:t>
      </w:r>
      <w:r w:rsidR="000655BF" w:rsidRPr="000D03F2">
        <w:t xml:space="preserve">he Sendai Framework </w:t>
      </w:r>
      <w:r w:rsidRPr="000D03F2">
        <w:t>includes technological hazards in its scope</w:t>
      </w:r>
      <w:r w:rsidR="000655BF" w:rsidRPr="000D03F2">
        <w:t>, thus marking a long-awaited start to the process of sharing lessons from Fukushima.</w:t>
      </w:r>
    </w:p>
    <w:p w14:paraId="24DD2932" w14:textId="77777777" w:rsidR="000655BF" w:rsidRPr="000655BF" w:rsidRDefault="000655BF" w:rsidP="00BE4108">
      <w:pPr>
        <w:autoSpaceDE w:val="0"/>
        <w:autoSpaceDN w:val="0"/>
        <w:adjustRightInd w:val="0"/>
        <w:ind w:firstLineChars="400" w:firstLine="840"/>
        <w:rPr>
          <w:color w:val="FF0000"/>
        </w:rPr>
      </w:pPr>
    </w:p>
    <w:p w14:paraId="06EDEC81" w14:textId="0ED237A2" w:rsidR="008F7302" w:rsidRPr="00E154A1" w:rsidRDefault="008F7302" w:rsidP="008F7302">
      <w:pPr>
        <w:rPr>
          <w:b/>
        </w:rPr>
      </w:pPr>
      <w:r w:rsidRPr="00354C9B">
        <w:rPr>
          <w:b/>
        </w:rPr>
        <w:t xml:space="preserve">Sendai framework’s definition of </w:t>
      </w:r>
      <w:r w:rsidR="00286453" w:rsidRPr="00354C9B">
        <w:rPr>
          <w:b/>
        </w:rPr>
        <w:t>h</w:t>
      </w:r>
      <w:r w:rsidRPr="00354C9B">
        <w:rPr>
          <w:b/>
        </w:rPr>
        <w:t>azard</w:t>
      </w:r>
    </w:p>
    <w:p w14:paraId="2E922BBC" w14:textId="77777777" w:rsidR="008F7302" w:rsidRDefault="008F7302" w:rsidP="00286453">
      <w:pPr>
        <w:ind w:firstLine="840"/>
      </w:pPr>
      <w:r w:rsidRPr="007D5B37">
        <w:t>Hazard is defined in the Hyogo Framework for Action as: “A potentially damaging physical event, phenomenon or human activity that may cause the loss of life or injury, property damage, social and economic disruption or environmental degradation. Hazards can include latent conditions that may represent future threats and can have different origins: natural (geological, hydrometeorological and biological) or induced by human processes (environmental degradation and technological hazards)”.</w:t>
      </w:r>
    </w:p>
    <w:p w14:paraId="48121618" w14:textId="37379E22" w:rsidR="008F7302" w:rsidRDefault="00286453" w:rsidP="00286453">
      <w:pPr>
        <w:ind w:firstLine="840"/>
      </w:pPr>
      <w:r>
        <w:t>The</w:t>
      </w:r>
      <w:r w:rsidR="008F7302" w:rsidRPr="007D5B37">
        <w:t xml:space="preserve"> present Framework </w:t>
      </w:r>
      <w:r>
        <w:t xml:space="preserve">not only reconfirms this definition, but also </w:t>
      </w:r>
      <w:r w:rsidR="008F7302" w:rsidRPr="007D5B37">
        <w:t>will apply</w:t>
      </w:r>
      <w:r>
        <w:t>, i</w:t>
      </w:r>
      <w:r>
        <w:rPr>
          <w:rFonts w:hint="eastAsia"/>
        </w:rPr>
        <w:t>n</w:t>
      </w:r>
      <w:r>
        <w:t xml:space="preserve"> its paragraph 15, </w:t>
      </w:r>
      <w:r w:rsidR="008F7302" w:rsidRPr="007D5B37">
        <w:t>to the risk of small-scale and large-scale, frequent and infrequent, sudden and slow-onset disasters caused by natural or man-made hazards, as well as related environmental, technological and biological hazards and risks. It aims to guide the multi-hazard management of disaster risk in development at all levels as well a</w:t>
      </w:r>
      <w:r>
        <w:t>s within and across all sectors with a view to s</w:t>
      </w:r>
      <w:r w:rsidR="008F7302" w:rsidRPr="007D5B37">
        <w:t>ubstantially increase the availability of and access to multi-hazard early warning systems and disaster risk information and assessments to people by 2030.</w:t>
      </w:r>
    </w:p>
    <w:p w14:paraId="47ADEFEB" w14:textId="32F7B038" w:rsidR="00A80A56" w:rsidRDefault="00A80A56" w:rsidP="007A00AF">
      <w:pPr>
        <w:ind w:firstLine="840"/>
      </w:pPr>
      <w:r>
        <w:t xml:space="preserve">Furthermore, in follow-up to this definition, </w:t>
      </w:r>
      <w:r w:rsidRPr="00354C9B">
        <w:t>Member States agreed</w:t>
      </w:r>
      <w:r w:rsidR="00CA294A" w:rsidRPr="00354C9B">
        <w:t>,</w:t>
      </w:r>
      <w:r w:rsidRPr="00354C9B">
        <w:t xml:space="preserve"> </w:t>
      </w:r>
      <w:r w:rsidR="00CA294A" w:rsidRPr="00354C9B">
        <w:t xml:space="preserve">in November 2016, </w:t>
      </w:r>
      <w:r w:rsidR="00DF6D58" w:rsidRPr="00354C9B">
        <w:t xml:space="preserve">to define technological hazards </w:t>
      </w:r>
      <w:r w:rsidR="0017290D" w:rsidRPr="00354C9B">
        <w:t xml:space="preserve">as hazards </w:t>
      </w:r>
      <w:r w:rsidR="00DF6D58" w:rsidRPr="00354C9B">
        <w:t>originat</w:t>
      </w:r>
      <w:r w:rsidR="0017290D" w:rsidRPr="00354C9B">
        <w:t xml:space="preserve">ing </w:t>
      </w:r>
      <w:r w:rsidR="00DF6D58" w:rsidRPr="00354C9B">
        <w:t>from</w:t>
      </w:r>
      <w:r w:rsidR="00DF6D58" w:rsidRPr="0017290D">
        <w:rPr>
          <w:color w:val="FF0000"/>
        </w:rPr>
        <w:t xml:space="preserve"> </w:t>
      </w:r>
      <w:r w:rsidR="00DF6D58" w:rsidRPr="00DF6D58">
        <w:t xml:space="preserve">technological or industrial conditions, dangerous procedures, infrastructure failures or specific human activities. Examples include industrial pollution, </w:t>
      </w:r>
      <w:r w:rsidR="00DF6D58" w:rsidRPr="00282D2C">
        <w:rPr>
          <w:u w:val="single"/>
        </w:rPr>
        <w:t>nuclear radiation</w:t>
      </w:r>
      <w:r w:rsidR="00DF6D58" w:rsidRPr="00DF6D58">
        <w:t xml:space="preserve">, toxic wastes, dam failures, transport accidents, factory explosions, fires and chemical spills. </w:t>
      </w:r>
      <w:r w:rsidR="00DF6D58" w:rsidRPr="00DF6D58">
        <w:lastRenderedPageBreak/>
        <w:t>Technological hazards also may arise directly as a result of the impacts of a natural hazard event</w:t>
      </w:r>
      <w:r w:rsidR="00282D2C">
        <w:rPr>
          <w:rStyle w:val="aa"/>
        </w:rPr>
        <w:footnoteReference w:id="21"/>
      </w:r>
      <w:r w:rsidR="00DF6D58" w:rsidRPr="00DF6D58">
        <w:t>.</w:t>
      </w:r>
      <w:r w:rsidR="00282D2C">
        <w:t xml:space="preserve"> (Emphasis is placed by the authors)  </w:t>
      </w:r>
      <w:r w:rsidR="00DF6D58">
        <w:t xml:space="preserve"> </w:t>
      </w:r>
      <w:r>
        <w:t xml:space="preserve">  </w:t>
      </w:r>
    </w:p>
    <w:p w14:paraId="78E6749A" w14:textId="7A89A2EE" w:rsidR="008F7302" w:rsidRDefault="008F7302" w:rsidP="008F7302"/>
    <w:p w14:paraId="153B4720" w14:textId="09BD7BFF" w:rsidR="009A519C" w:rsidRDefault="00CA294A" w:rsidP="00700D28">
      <w:r>
        <w:tab/>
      </w:r>
      <w:r w:rsidR="007E7BB2">
        <w:t>The Sendai Framework for Disaster Risk Reduction Sendai contains agreed guidelines such as Priorities for action</w:t>
      </w:r>
      <w:r w:rsidR="009370CA">
        <w:t xml:space="preserve"> </w:t>
      </w:r>
      <w:r w:rsidR="00BD0A33">
        <w:t xml:space="preserve">(Box2) </w:t>
      </w:r>
      <w:r w:rsidR="009370CA">
        <w:t>including Science-policy interface</w:t>
      </w:r>
      <w:r w:rsidR="00BD0A33">
        <w:t>(Box3)</w:t>
      </w:r>
      <w:r w:rsidR="009370CA">
        <w:t xml:space="preserve">, and </w:t>
      </w:r>
      <w:r w:rsidR="007E7BB2" w:rsidRPr="007E7BB2">
        <w:t>Seven global targets</w:t>
      </w:r>
      <w:r w:rsidR="00BD0A33">
        <w:t xml:space="preserve"> </w:t>
      </w:r>
      <w:r w:rsidR="009370CA">
        <w:t xml:space="preserve">as well as </w:t>
      </w:r>
      <w:r w:rsidR="002B7310">
        <w:t>Implementation Guiding Principles, Role of stakeh</w:t>
      </w:r>
      <w:r w:rsidR="00AB0433">
        <w:t xml:space="preserve">olders, </w:t>
      </w:r>
      <w:r w:rsidR="00AB0433" w:rsidRPr="00AB0433">
        <w:t>International cooperation and global partnership</w:t>
      </w:r>
      <w:r w:rsidR="009370CA">
        <w:t xml:space="preserve"> such as Means of implementation and</w:t>
      </w:r>
    </w:p>
    <w:p w14:paraId="2E606255" w14:textId="3EB5F69C" w:rsidR="00CA294A" w:rsidRDefault="00AB0433" w:rsidP="008F7302">
      <w:r w:rsidRPr="00AB0433">
        <w:t>Follow-up actions</w:t>
      </w:r>
      <w:r w:rsidR="009370CA">
        <w:t>, etc.</w:t>
      </w:r>
      <w:r w:rsidR="007E7BB2">
        <w:t xml:space="preserve"> </w:t>
      </w:r>
      <w:r w:rsidR="00CA294A">
        <w:rPr>
          <w:rFonts w:hint="eastAsia"/>
        </w:rPr>
        <w:t>In the light of the clear cut agreement to include nuc</w:t>
      </w:r>
      <w:r w:rsidR="00CA294A">
        <w:t>l</w:t>
      </w:r>
      <w:r w:rsidR="00CA294A">
        <w:rPr>
          <w:rFonts w:hint="eastAsia"/>
        </w:rPr>
        <w:t xml:space="preserve">ear radiation </w:t>
      </w:r>
      <w:r w:rsidR="00CA294A">
        <w:t xml:space="preserve">in the scope of, there should be conscious </w:t>
      </w:r>
      <w:r w:rsidR="007E7BB2">
        <w:t xml:space="preserve">and systematic </w:t>
      </w:r>
      <w:r w:rsidR="00CA294A">
        <w:t xml:space="preserve">efforts to </w:t>
      </w:r>
      <w:r w:rsidR="007E7BB2">
        <w:t xml:space="preserve">apply and </w:t>
      </w:r>
      <w:r w:rsidR="00CA294A">
        <w:t xml:space="preserve">implement </w:t>
      </w:r>
      <w:r w:rsidR="007E7BB2">
        <w:t xml:space="preserve">the substantive elements of the Framework in relevant areas for nuclear radiation hazard. </w:t>
      </w:r>
    </w:p>
    <w:p w14:paraId="474AD78B" w14:textId="5A8D06F9" w:rsidR="00700D28" w:rsidRDefault="00700D28" w:rsidP="008F7302"/>
    <w:p w14:paraId="6F515FF0" w14:textId="77777777" w:rsidR="00700D28" w:rsidRDefault="00700D28">
      <w:pPr>
        <w:widowControl/>
        <w:jc w:val="left"/>
      </w:pPr>
      <w:r>
        <w:br w:type="page"/>
      </w:r>
    </w:p>
    <w:p w14:paraId="19152083" w14:textId="1B7C6AFD" w:rsidR="00300E12" w:rsidRDefault="00300E12" w:rsidP="008F7302"/>
    <w:p w14:paraId="0F2138F1" w14:textId="34517319" w:rsidR="00300E12" w:rsidRDefault="00300E12">
      <w:pPr>
        <w:widowControl/>
        <w:jc w:val="left"/>
      </w:pPr>
      <w:r>
        <w:rPr>
          <w:noProof/>
        </w:rPr>
        <mc:AlternateContent>
          <mc:Choice Requires="wps">
            <w:drawing>
              <wp:anchor distT="45720" distB="45720" distL="114300" distR="114300" simplePos="0" relativeHeight="251665408" behindDoc="0" locked="0" layoutInCell="1" allowOverlap="1" wp14:anchorId="1A93D6C2" wp14:editId="0D94B35C">
                <wp:simplePos x="0" y="0"/>
                <wp:positionH relativeFrom="column">
                  <wp:posOffset>497205</wp:posOffset>
                </wp:positionH>
                <wp:positionV relativeFrom="paragraph">
                  <wp:posOffset>355600</wp:posOffset>
                </wp:positionV>
                <wp:extent cx="5016500" cy="7428230"/>
                <wp:effectExtent l="0" t="0" r="12700" b="203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7428230"/>
                        </a:xfrm>
                        <a:prstGeom prst="rect">
                          <a:avLst/>
                        </a:prstGeom>
                        <a:solidFill>
                          <a:srgbClr val="FFFFFF"/>
                        </a:solidFill>
                        <a:ln w="9525">
                          <a:solidFill>
                            <a:srgbClr val="000000"/>
                          </a:solidFill>
                          <a:miter lim="800000"/>
                          <a:headEnd/>
                          <a:tailEnd/>
                        </a:ln>
                      </wps:spPr>
                      <wps:txbx>
                        <w:txbxContent>
                          <w:p w14:paraId="77B0E317" w14:textId="29D600D9" w:rsidR="00300E12" w:rsidRPr="00700D28" w:rsidRDefault="00300E12" w:rsidP="00300E12">
                            <w:pPr>
                              <w:rPr>
                                <w:sz w:val="18"/>
                                <w:szCs w:val="18"/>
                              </w:rPr>
                            </w:pPr>
                            <w:r w:rsidRPr="00E22A76">
                              <w:rPr>
                                <w:b/>
                                <w:sz w:val="22"/>
                              </w:rPr>
                              <w:t>Box 2 Priorities for action</w:t>
                            </w:r>
                            <w:r w:rsidRPr="00E22A76">
                              <w:rPr>
                                <w:b/>
                                <w:sz w:val="22"/>
                              </w:rPr>
                              <w:br/>
                            </w:r>
                            <w:r w:rsidRPr="00700D28">
                              <w:rPr>
                                <w:sz w:val="18"/>
                                <w:szCs w:val="18"/>
                              </w:rPr>
                              <w:t>20.</w:t>
                            </w:r>
                            <w:r w:rsidRPr="00700D28">
                              <w:rPr>
                                <w:sz w:val="18"/>
                                <w:szCs w:val="18"/>
                              </w:rPr>
                              <w:tab/>
                              <w:t>Taking into account the experience gained through the implementation of the Hyogo Framework for Action, and in pursuance of the expected outcome and goal, there is a need for focused action within and across sectors by States at local, national, regional and global levels in the following four priority areas:</w:t>
                            </w:r>
                          </w:p>
                          <w:p w14:paraId="5804E19D" w14:textId="77777777" w:rsidR="00300E12" w:rsidRPr="00700D28" w:rsidRDefault="00300E12" w:rsidP="00300E12">
                            <w:pPr>
                              <w:rPr>
                                <w:sz w:val="18"/>
                                <w:szCs w:val="18"/>
                              </w:rPr>
                            </w:pPr>
                            <w:r w:rsidRPr="00700D28">
                              <w:rPr>
                                <w:sz w:val="18"/>
                                <w:szCs w:val="18"/>
                              </w:rPr>
                              <w:t>Priority 1:</w:t>
                            </w:r>
                            <w:r w:rsidRPr="00700D28">
                              <w:rPr>
                                <w:sz w:val="18"/>
                                <w:szCs w:val="18"/>
                              </w:rPr>
                              <w:tab/>
                              <w:t>Understanding disaster risk.</w:t>
                            </w:r>
                          </w:p>
                          <w:p w14:paraId="4E503267" w14:textId="77777777" w:rsidR="00300E12" w:rsidRPr="00700D28" w:rsidRDefault="00300E12" w:rsidP="00300E12">
                            <w:pPr>
                              <w:rPr>
                                <w:sz w:val="18"/>
                                <w:szCs w:val="18"/>
                              </w:rPr>
                            </w:pPr>
                            <w:r w:rsidRPr="00700D28">
                              <w:rPr>
                                <w:sz w:val="18"/>
                                <w:szCs w:val="18"/>
                              </w:rPr>
                              <w:t>Priority 2:</w:t>
                            </w:r>
                            <w:r w:rsidRPr="00700D28">
                              <w:rPr>
                                <w:sz w:val="18"/>
                                <w:szCs w:val="18"/>
                              </w:rPr>
                              <w:tab/>
                              <w:t>Strengthening disaster risk governance to manage disaster risk.</w:t>
                            </w:r>
                          </w:p>
                          <w:p w14:paraId="75AA889C" w14:textId="77777777" w:rsidR="00300E12" w:rsidRPr="00700D28" w:rsidRDefault="00300E12" w:rsidP="00300E12">
                            <w:pPr>
                              <w:rPr>
                                <w:sz w:val="18"/>
                                <w:szCs w:val="18"/>
                              </w:rPr>
                            </w:pPr>
                            <w:r w:rsidRPr="00700D28">
                              <w:rPr>
                                <w:sz w:val="18"/>
                                <w:szCs w:val="18"/>
                              </w:rPr>
                              <w:t>Priority 3:</w:t>
                            </w:r>
                            <w:r w:rsidRPr="00700D28">
                              <w:rPr>
                                <w:sz w:val="18"/>
                                <w:szCs w:val="18"/>
                              </w:rPr>
                              <w:tab/>
                              <w:t>Investing in disaster risk reduction for resilience.</w:t>
                            </w:r>
                          </w:p>
                          <w:p w14:paraId="2A47B7CB" w14:textId="77777777" w:rsidR="00300E12" w:rsidRPr="00700D28" w:rsidRDefault="00300E12" w:rsidP="00300E12">
                            <w:pPr>
                              <w:rPr>
                                <w:sz w:val="18"/>
                                <w:szCs w:val="18"/>
                              </w:rPr>
                            </w:pPr>
                            <w:r w:rsidRPr="00700D28">
                              <w:rPr>
                                <w:sz w:val="18"/>
                                <w:szCs w:val="18"/>
                              </w:rPr>
                              <w:t>Priority 4:</w:t>
                            </w:r>
                            <w:r w:rsidRPr="00700D28">
                              <w:rPr>
                                <w:sz w:val="18"/>
                                <w:szCs w:val="18"/>
                              </w:rPr>
                              <w:tab/>
                              <w:t>Enhancing disaster preparedness for effective response and to “Build Back Better” in recovery, rehabilitation and reconstruction.</w:t>
                            </w:r>
                          </w:p>
                          <w:p w14:paraId="1C62A89C" w14:textId="77777777" w:rsidR="00300E12" w:rsidRPr="00700D28" w:rsidRDefault="00300E12" w:rsidP="00300E12">
                            <w:pPr>
                              <w:rPr>
                                <w:b/>
                                <w:sz w:val="18"/>
                                <w:szCs w:val="18"/>
                              </w:rPr>
                            </w:pPr>
                            <w:r w:rsidRPr="00700D28">
                              <w:rPr>
                                <w:b/>
                                <w:sz w:val="18"/>
                                <w:szCs w:val="18"/>
                              </w:rPr>
                              <w:t>Seven global targets of the Sendai Framework</w:t>
                            </w:r>
                          </w:p>
                          <w:p w14:paraId="0FEB358D" w14:textId="77777777" w:rsidR="00300E12" w:rsidRPr="00700D28" w:rsidRDefault="00300E12" w:rsidP="00300E12">
                            <w:pPr>
                              <w:rPr>
                                <w:sz w:val="18"/>
                                <w:szCs w:val="18"/>
                              </w:rPr>
                            </w:pPr>
                            <w:r w:rsidRPr="00700D28">
                              <w:rPr>
                                <w:sz w:val="18"/>
                                <w:szCs w:val="18"/>
                              </w:rPr>
                              <w:t>The seven global targets are agreed in para.18:</w:t>
                            </w:r>
                          </w:p>
                          <w:p w14:paraId="4D7223A2" w14:textId="77777777" w:rsidR="00300E12" w:rsidRPr="00700D28" w:rsidRDefault="00300E12" w:rsidP="00300E12">
                            <w:pPr>
                              <w:rPr>
                                <w:sz w:val="18"/>
                                <w:szCs w:val="18"/>
                              </w:rPr>
                            </w:pPr>
                            <w:r w:rsidRPr="00700D28">
                              <w:rPr>
                                <w:rFonts w:hint="eastAsia"/>
                                <w:sz w:val="18"/>
                                <w:szCs w:val="18"/>
                              </w:rPr>
                              <w:tab/>
                              <w:t>(a)</w:t>
                            </w:r>
                            <w:r w:rsidRPr="00700D28">
                              <w:rPr>
                                <w:rFonts w:hint="eastAsia"/>
                                <w:sz w:val="18"/>
                                <w:szCs w:val="18"/>
                              </w:rPr>
                              <w:tab/>
                              <w:t xml:space="preserve">Substantially reduce global </w:t>
                            </w:r>
                            <w:r w:rsidRPr="00700D28">
                              <w:rPr>
                                <w:rFonts w:hint="eastAsia"/>
                                <w:sz w:val="18"/>
                                <w:szCs w:val="18"/>
                              </w:rPr>
                              <w:t>ｄｉｓａｓｔｅｒ</w:t>
                            </w:r>
                            <w:r w:rsidRPr="00700D28">
                              <w:rPr>
                                <w:rFonts w:hint="eastAsia"/>
                                <w:sz w:val="18"/>
                                <w:szCs w:val="18"/>
                              </w:rPr>
                              <w:t xml:space="preserve"> mortality by 2030, aiming to lower the average per 100,000 global mortality rate in the decade 2020</w:t>
                            </w:r>
                            <w:r w:rsidRPr="00700D28">
                              <w:rPr>
                                <w:rFonts w:hint="eastAsia"/>
                                <w:sz w:val="18"/>
                                <w:szCs w:val="18"/>
                              </w:rPr>
                              <w:t>–</w:t>
                            </w:r>
                            <w:r w:rsidRPr="00700D28">
                              <w:rPr>
                                <w:rFonts w:hint="eastAsia"/>
                                <w:sz w:val="18"/>
                                <w:szCs w:val="18"/>
                              </w:rPr>
                              <w:t>2030 compared to the period 2005</w:t>
                            </w:r>
                            <w:r w:rsidRPr="00700D28">
                              <w:rPr>
                                <w:rFonts w:hint="eastAsia"/>
                                <w:sz w:val="18"/>
                                <w:szCs w:val="18"/>
                              </w:rPr>
                              <w:t>–</w:t>
                            </w:r>
                            <w:r w:rsidRPr="00700D28">
                              <w:rPr>
                                <w:rFonts w:hint="eastAsia"/>
                                <w:sz w:val="18"/>
                                <w:szCs w:val="18"/>
                              </w:rPr>
                              <w:t>2015;</w:t>
                            </w:r>
                          </w:p>
                          <w:p w14:paraId="2ECDEDA5" w14:textId="77777777" w:rsidR="00300E12" w:rsidRPr="00700D28" w:rsidRDefault="00300E12" w:rsidP="00300E12">
                            <w:pPr>
                              <w:rPr>
                                <w:sz w:val="18"/>
                                <w:szCs w:val="18"/>
                              </w:rPr>
                            </w:pPr>
                            <w:r w:rsidRPr="00700D28">
                              <w:rPr>
                                <w:sz w:val="18"/>
                                <w:szCs w:val="18"/>
                              </w:rPr>
                              <w:tab/>
                              <w:t>(b)</w:t>
                            </w:r>
                            <w:r w:rsidRPr="00700D28">
                              <w:rPr>
                                <w:sz w:val="18"/>
                                <w:szCs w:val="18"/>
                              </w:rPr>
                              <w:tab/>
                              <w:t xml:space="preserve">Substantially reduce the number of affected people globally by 2030, aiming to lower the average global figure per 100,000 in the decade 2020–2030 compared to the period 2005–2015; </w:t>
                            </w:r>
                          </w:p>
                          <w:p w14:paraId="2D22AD15" w14:textId="77777777" w:rsidR="00300E12" w:rsidRPr="00700D28" w:rsidRDefault="00300E12" w:rsidP="00300E12">
                            <w:pPr>
                              <w:rPr>
                                <w:sz w:val="18"/>
                                <w:szCs w:val="18"/>
                              </w:rPr>
                            </w:pPr>
                            <w:r w:rsidRPr="00700D28">
                              <w:rPr>
                                <w:sz w:val="18"/>
                                <w:szCs w:val="18"/>
                              </w:rPr>
                              <w:tab/>
                              <w:t xml:space="preserve">(c) </w:t>
                            </w:r>
                            <w:r w:rsidRPr="00700D28">
                              <w:rPr>
                                <w:sz w:val="18"/>
                                <w:szCs w:val="18"/>
                              </w:rPr>
                              <w:tab/>
                              <w:t>Reduce direct disaster economic loss in relation to global gross domestic product (GDP) by 2030;</w:t>
                            </w:r>
                          </w:p>
                          <w:p w14:paraId="2656C5D0" w14:textId="77777777" w:rsidR="00300E12" w:rsidRPr="00700D28" w:rsidRDefault="00300E12" w:rsidP="00300E12">
                            <w:pPr>
                              <w:rPr>
                                <w:sz w:val="18"/>
                                <w:szCs w:val="18"/>
                              </w:rPr>
                            </w:pPr>
                            <w:r w:rsidRPr="00700D28">
                              <w:rPr>
                                <w:sz w:val="18"/>
                                <w:szCs w:val="18"/>
                              </w:rPr>
                              <w:tab/>
                              <w:t>(d)</w:t>
                            </w:r>
                            <w:r w:rsidRPr="00700D28">
                              <w:rPr>
                                <w:sz w:val="18"/>
                                <w:szCs w:val="18"/>
                              </w:rPr>
                              <w:tab/>
                              <w:t>Substantially reduce disaster damage to critical infrastructure and disruption of basic services, among them health and educational facilities, including through developing their resilience by 2030;</w:t>
                            </w:r>
                          </w:p>
                          <w:p w14:paraId="69EF8577" w14:textId="77777777" w:rsidR="00300E12" w:rsidRPr="00700D28" w:rsidRDefault="00300E12" w:rsidP="00300E12">
                            <w:pPr>
                              <w:rPr>
                                <w:sz w:val="18"/>
                                <w:szCs w:val="18"/>
                              </w:rPr>
                            </w:pPr>
                            <w:r w:rsidRPr="00700D28">
                              <w:rPr>
                                <w:sz w:val="18"/>
                                <w:szCs w:val="18"/>
                              </w:rPr>
                              <w:tab/>
                              <w:t>(e)</w:t>
                            </w:r>
                            <w:r w:rsidRPr="00700D28">
                              <w:rPr>
                                <w:sz w:val="18"/>
                                <w:szCs w:val="18"/>
                              </w:rPr>
                              <w:tab/>
                              <w:t>Substantially increase the number of countries with national and local disaster risk reduction strategies by 2020;</w:t>
                            </w:r>
                          </w:p>
                          <w:p w14:paraId="24E01C52" w14:textId="77777777" w:rsidR="00300E12" w:rsidRPr="00700D28" w:rsidRDefault="00300E12" w:rsidP="00300E12">
                            <w:pPr>
                              <w:rPr>
                                <w:sz w:val="18"/>
                                <w:szCs w:val="18"/>
                              </w:rPr>
                            </w:pPr>
                            <w:r w:rsidRPr="00700D28">
                              <w:rPr>
                                <w:sz w:val="18"/>
                                <w:szCs w:val="18"/>
                              </w:rPr>
                              <w:tab/>
                              <w:t>(f)</w:t>
                            </w:r>
                            <w:r w:rsidRPr="00700D28">
                              <w:rPr>
                                <w:sz w:val="18"/>
                                <w:szCs w:val="18"/>
                              </w:rPr>
                              <w:tab/>
                              <w:t>Substantially enhance international cooperation to developing countries through adequate and sustainable support to complement their national actions for implementation of the present Framework by 2030;</w:t>
                            </w:r>
                          </w:p>
                          <w:p w14:paraId="699805AD" w14:textId="4212661C" w:rsidR="00300E12" w:rsidRPr="00300E12" w:rsidRDefault="00300E12" w:rsidP="00D13CEF">
                            <w:pPr>
                              <w:pStyle w:val="SingleTxt"/>
                              <w:ind w:left="0" w:firstLineChars="400" w:firstLine="851"/>
                              <w:rPr>
                                <w:lang w:val="en-GB"/>
                              </w:rPr>
                            </w:pPr>
                            <w:r w:rsidRPr="00300E12">
                              <w:rPr>
                                <w:lang w:val="en-GB"/>
                              </w:rPr>
                              <w:t>(</w:t>
                            </w:r>
                            <w:r w:rsidRPr="00300E12">
                              <w:rPr>
                                <w:i/>
                                <w:lang w:val="en-GB"/>
                              </w:rPr>
                              <w:t>g</w:t>
                            </w:r>
                            <w:r w:rsidRPr="00300E12">
                              <w:rPr>
                                <w:lang w:val="en-GB"/>
                              </w:rPr>
                              <w:t>)</w:t>
                            </w:r>
                            <w:r w:rsidRPr="00300E12">
                              <w:rPr>
                                <w:lang w:val="en-GB"/>
                              </w:rPr>
                              <w:tab/>
                              <w:t>Substantially increase the availability of and access to multi-hazard early warning systems and disaster risk information and assessments to people by 2030.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3D6C2" id="_x0000_s1027" type="#_x0000_t202" style="position:absolute;margin-left:39.15pt;margin-top:28pt;width:395pt;height:58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">
                <v:textbox>
                  <w:txbxContent>
                    <w:p w14:paraId="77B0E317" w14:textId="29D600D9" w:rsidR="00300E12" w:rsidRPr="00700D28" w:rsidRDefault="00300E12" w:rsidP="00300E12">
                      <w:pPr>
                        <w:rPr>
                          <w:sz w:val="18"/>
                          <w:szCs w:val="18"/>
                        </w:rPr>
                      </w:pPr>
                      <w:bookmarkStart w:id="1" w:name="_GoBack"/>
                      <w:r w:rsidRPr="00E22A76">
                        <w:rPr>
                          <w:b/>
                          <w:sz w:val="22"/>
                        </w:rPr>
                        <w:t>Box 2 Priorities for action</w:t>
                      </w:r>
                      <w:r w:rsidRPr="00E22A76">
                        <w:rPr>
                          <w:b/>
                          <w:sz w:val="22"/>
                        </w:rPr>
                        <w:br/>
                      </w:r>
                      <w:r w:rsidRPr="00700D28">
                        <w:rPr>
                          <w:sz w:val="18"/>
                          <w:szCs w:val="18"/>
                        </w:rPr>
                        <w:t>20.</w:t>
                      </w:r>
                      <w:r w:rsidRPr="00700D28">
                        <w:rPr>
                          <w:sz w:val="18"/>
                          <w:szCs w:val="18"/>
                        </w:rPr>
                        <w:tab/>
                        <w:t>Taking into account the experience gained through the implementation of the Hyogo Framework for Action, and in pursuance of the expected outcome and goal, there is a need for focused action within and across sectors by States at local, national, regional and global levels in the following four priority areas:</w:t>
                      </w:r>
                    </w:p>
                    <w:p w14:paraId="5804E19D" w14:textId="77777777" w:rsidR="00300E12" w:rsidRPr="00700D28" w:rsidRDefault="00300E12" w:rsidP="00300E12">
                      <w:pPr>
                        <w:rPr>
                          <w:sz w:val="18"/>
                          <w:szCs w:val="18"/>
                        </w:rPr>
                      </w:pPr>
                      <w:r w:rsidRPr="00700D28">
                        <w:rPr>
                          <w:sz w:val="18"/>
                          <w:szCs w:val="18"/>
                        </w:rPr>
                        <w:t>Priority 1:</w:t>
                      </w:r>
                      <w:r w:rsidRPr="00700D28">
                        <w:rPr>
                          <w:sz w:val="18"/>
                          <w:szCs w:val="18"/>
                        </w:rPr>
                        <w:tab/>
                        <w:t>Understanding disaster risk.</w:t>
                      </w:r>
                    </w:p>
                    <w:p w14:paraId="4E503267" w14:textId="77777777" w:rsidR="00300E12" w:rsidRPr="00700D28" w:rsidRDefault="00300E12" w:rsidP="00300E12">
                      <w:pPr>
                        <w:rPr>
                          <w:sz w:val="18"/>
                          <w:szCs w:val="18"/>
                        </w:rPr>
                      </w:pPr>
                      <w:r w:rsidRPr="00700D28">
                        <w:rPr>
                          <w:sz w:val="18"/>
                          <w:szCs w:val="18"/>
                        </w:rPr>
                        <w:t>Priority 2:</w:t>
                      </w:r>
                      <w:r w:rsidRPr="00700D28">
                        <w:rPr>
                          <w:sz w:val="18"/>
                          <w:szCs w:val="18"/>
                        </w:rPr>
                        <w:tab/>
                        <w:t>Strengthening disaster risk governance to manage disaster risk.</w:t>
                      </w:r>
                    </w:p>
                    <w:p w14:paraId="75AA889C" w14:textId="77777777" w:rsidR="00300E12" w:rsidRPr="00700D28" w:rsidRDefault="00300E12" w:rsidP="00300E12">
                      <w:pPr>
                        <w:rPr>
                          <w:sz w:val="18"/>
                          <w:szCs w:val="18"/>
                        </w:rPr>
                      </w:pPr>
                      <w:r w:rsidRPr="00700D28">
                        <w:rPr>
                          <w:sz w:val="18"/>
                          <w:szCs w:val="18"/>
                        </w:rPr>
                        <w:t>Priority 3:</w:t>
                      </w:r>
                      <w:r w:rsidRPr="00700D28">
                        <w:rPr>
                          <w:sz w:val="18"/>
                          <w:szCs w:val="18"/>
                        </w:rPr>
                        <w:tab/>
                        <w:t>Investing in disaster risk reduction for resilience.</w:t>
                      </w:r>
                    </w:p>
                    <w:p w14:paraId="2A47B7CB" w14:textId="77777777" w:rsidR="00300E12" w:rsidRPr="00700D28" w:rsidRDefault="00300E12" w:rsidP="00300E12">
                      <w:pPr>
                        <w:rPr>
                          <w:sz w:val="18"/>
                          <w:szCs w:val="18"/>
                        </w:rPr>
                      </w:pPr>
                      <w:r w:rsidRPr="00700D28">
                        <w:rPr>
                          <w:sz w:val="18"/>
                          <w:szCs w:val="18"/>
                        </w:rPr>
                        <w:t>Priority 4:</w:t>
                      </w:r>
                      <w:r w:rsidRPr="00700D28">
                        <w:rPr>
                          <w:sz w:val="18"/>
                          <w:szCs w:val="18"/>
                        </w:rPr>
                        <w:tab/>
                        <w:t>Enhancing disaster preparedness for effective response and to “Build Back Better” in recovery, rehabilitation and reconstruction.</w:t>
                      </w:r>
                    </w:p>
                    <w:p w14:paraId="1C62A89C" w14:textId="77777777" w:rsidR="00300E12" w:rsidRPr="00700D28" w:rsidRDefault="00300E12" w:rsidP="00300E12">
                      <w:pPr>
                        <w:rPr>
                          <w:b/>
                          <w:sz w:val="18"/>
                          <w:szCs w:val="18"/>
                        </w:rPr>
                      </w:pPr>
                      <w:r w:rsidRPr="00700D28">
                        <w:rPr>
                          <w:b/>
                          <w:sz w:val="18"/>
                          <w:szCs w:val="18"/>
                        </w:rPr>
                        <w:t>Seven global targets of the Sendai Framework</w:t>
                      </w:r>
                    </w:p>
                    <w:p w14:paraId="0FEB358D" w14:textId="77777777" w:rsidR="00300E12" w:rsidRPr="00700D28" w:rsidRDefault="00300E12" w:rsidP="00300E12">
                      <w:pPr>
                        <w:rPr>
                          <w:sz w:val="18"/>
                          <w:szCs w:val="18"/>
                        </w:rPr>
                      </w:pPr>
                      <w:r w:rsidRPr="00700D28">
                        <w:rPr>
                          <w:sz w:val="18"/>
                          <w:szCs w:val="18"/>
                        </w:rPr>
                        <w:t>The seven global targets are agreed in para.18:</w:t>
                      </w:r>
                    </w:p>
                    <w:p w14:paraId="4D7223A2" w14:textId="77777777" w:rsidR="00300E12" w:rsidRPr="00700D28" w:rsidRDefault="00300E12" w:rsidP="00300E12">
                      <w:pPr>
                        <w:rPr>
                          <w:sz w:val="18"/>
                          <w:szCs w:val="18"/>
                        </w:rPr>
                      </w:pPr>
                      <w:r w:rsidRPr="00700D28">
                        <w:rPr>
                          <w:rFonts w:hint="eastAsia"/>
                          <w:sz w:val="18"/>
                          <w:szCs w:val="18"/>
                        </w:rPr>
                        <w:tab/>
                        <w:t>(a)</w:t>
                      </w:r>
                      <w:r w:rsidRPr="00700D28">
                        <w:rPr>
                          <w:rFonts w:hint="eastAsia"/>
                          <w:sz w:val="18"/>
                          <w:szCs w:val="18"/>
                        </w:rPr>
                        <w:tab/>
                        <w:t xml:space="preserve">Substantially reduce global </w:t>
                      </w:r>
                      <w:r w:rsidRPr="00700D28">
                        <w:rPr>
                          <w:rFonts w:hint="eastAsia"/>
                          <w:sz w:val="18"/>
                          <w:szCs w:val="18"/>
                        </w:rPr>
                        <w:t>ｄｉｓａｓｔｅｒ</w:t>
                      </w:r>
                      <w:r w:rsidRPr="00700D28">
                        <w:rPr>
                          <w:rFonts w:hint="eastAsia"/>
                          <w:sz w:val="18"/>
                          <w:szCs w:val="18"/>
                        </w:rPr>
                        <w:t xml:space="preserve"> mortality by 2030, aiming to lower the average per 100,000 global mortality rate in the decade 2020</w:t>
                      </w:r>
                      <w:r w:rsidRPr="00700D28">
                        <w:rPr>
                          <w:rFonts w:hint="eastAsia"/>
                          <w:sz w:val="18"/>
                          <w:szCs w:val="18"/>
                        </w:rPr>
                        <w:t>–</w:t>
                      </w:r>
                      <w:r w:rsidRPr="00700D28">
                        <w:rPr>
                          <w:rFonts w:hint="eastAsia"/>
                          <w:sz w:val="18"/>
                          <w:szCs w:val="18"/>
                        </w:rPr>
                        <w:t>2030 compared to the period 2005</w:t>
                      </w:r>
                      <w:r w:rsidRPr="00700D28">
                        <w:rPr>
                          <w:rFonts w:hint="eastAsia"/>
                          <w:sz w:val="18"/>
                          <w:szCs w:val="18"/>
                        </w:rPr>
                        <w:t>–</w:t>
                      </w:r>
                      <w:r w:rsidRPr="00700D28">
                        <w:rPr>
                          <w:rFonts w:hint="eastAsia"/>
                          <w:sz w:val="18"/>
                          <w:szCs w:val="18"/>
                        </w:rPr>
                        <w:t>2015;</w:t>
                      </w:r>
                    </w:p>
                    <w:p w14:paraId="2ECDEDA5" w14:textId="77777777" w:rsidR="00300E12" w:rsidRPr="00700D28" w:rsidRDefault="00300E12" w:rsidP="00300E12">
                      <w:pPr>
                        <w:rPr>
                          <w:sz w:val="18"/>
                          <w:szCs w:val="18"/>
                        </w:rPr>
                      </w:pPr>
                      <w:r w:rsidRPr="00700D28">
                        <w:rPr>
                          <w:sz w:val="18"/>
                          <w:szCs w:val="18"/>
                        </w:rPr>
                        <w:tab/>
                        <w:t>(b)</w:t>
                      </w:r>
                      <w:r w:rsidRPr="00700D28">
                        <w:rPr>
                          <w:sz w:val="18"/>
                          <w:szCs w:val="18"/>
                        </w:rPr>
                        <w:tab/>
                        <w:t xml:space="preserve">Substantially reduce the number of affected people globally by 2030, aiming to lower the average global figure per 100,000 in the decade 2020–2030 compared to the period 2005–2015; </w:t>
                      </w:r>
                    </w:p>
                    <w:p w14:paraId="2D22AD15" w14:textId="77777777" w:rsidR="00300E12" w:rsidRPr="00700D28" w:rsidRDefault="00300E12" w:rsidP="00300E12">
                      <w:pPr>
                        <w:rPr>
                          <w:sz w:val="18"/>
                          <w:szCs w:val="18"/>
                        </w:rPr>
                      </w:pPr>
                      <w:r w:rsidRPr="00700D28">
                        <w:rPr>
                          <w:sz w:val="18"/>
                          <w:szCs w:val="18"/>
                        </w:rPr>
                        <w:tab/>
                        <w:t xml:space="preserve">(c) </w:t>
                      </w:r>
                      <w:r w:rsidRPr="00700D28">
                        <w:rPr>
                          <w:sz w:val="18"/>
                          <w:szCs w:val="18"/>
                        </w:rPr>
                        <w:tab/>
                        <w:t>Reduce direct disaster economic loss in relation to global gross domestic product (GDP) by 2030;</w:t>
                      </w:r>
                    </w:p>
                    <w:p w14:paraId="2656C5D0" w14:textId="77777777" w:rsidR="00300E12" w:rsidRPr="00700D28" w:rsidRDefault="00300E12" w:rsidP="00300E12">
                      <w:pPr>
                        <w:rPr>
                          <w:sz w:val="18"/>
                          <w:szCs w:val="18"/>
                        </w:rPr>
                      </w:pPr>
                      <w:r w:rsidRPr="00700D28">
                        <w:rPr>
                          <w:sz w:val="18"/>
                          <w:szCs w:val="18"/>
                        </w:rPr>
                        <w:tab/>
                        <w:t>(d)</w:t>
                      </w:r>
                      <w:r w:rsidRPr="00700D28">
                        <w:rPr>
                          <w:sz w:val="18"/>
                          <w:szCs w:val="18"/>
                        </w:rPr>
                        <w:tab/>
                        <w:t>Substantially reduce disaster damage to critical infrastructure and disruption of basic services, among them health and educational facilities, including through developing their resilience by 2030;</w:t>
                      </w:r>
                    </w:p>
                    <w:p w14:paraId="69EF8577" w14:textId="77777777" w:rsidR="00300E12" w:rsidRPr="00700D28" w:rsidRDefault="00300E12" w:rsidP="00300E12">
                      <w:pPr>
                        <w:rPr>
                          <w:sz w:val="18"/>
                          <w:szCs w:val="18"/>
                        </w:rPr>
                      </w:pPr>
                      <w:r w:rsidRPr="00700D28">
                        <w:rPr>
                          <w:sz w:val="18"/>
                          <w:szCs w:val="18"/>
                        </w:rPr>
                        <w:tab/>
                        <w:t>(e)</w:t>
                      </w:r>
                      <w:r w:rsidRPr="00700D28">
                        <w:rPr>
                          <w:sz w:val="18"/>
                          <w:szCs w:val="18"/>
                        </w:rPr>
                        <w:tab/>
                        <w:t>Substantially increase the number of countries with national and local disaster risk reduction strategies by 2020;</w:t>
                      </w:r>
                    </w:p>
                    <w:p w14:paraId="24E01C52" w14:textId="77777777" w:rsidR="00300E12" w:rsidRPr="00700D28" w:rsidRDefault="00300E12" w:rsidP="00300E12">
                      <w:pPr>
                        <w:rPr>
                          <w:sz w:val="18"/>
                          <w:szCs w:val="18"/>
                        </w:rPr>
                      </w:pPr>
                      <w:r w:rsidRPr="00700D28">
                        <w:rPr>
                          <w:sz w:val="18"/>
                          <w:szCs w:val="18"/>
                        </w:rPr>
                        <w:tab/>
                        <w:t>(f)</w:t>
                      </w:r>
                      <w:r w:rsidRPr="00700D28">
                        <w:rPr>
                          <w:sz w:val="18"/>
                          <w:szCs w:val="18"/>
                        </w:rPr>
                        <w:tab/>
                        <w:t>Substantially enhance international cooperation to developing countries through adequate and sustainable support to complement their national actions for implementation of the present Framework by 2030;</w:t>
                      </w:r>
                    </w:p>
                    <w:p w14:paraId="699805AD" w14:textId="4212661C" w:rsidR="00300E12" w:rsidRPr="00300E12" w:rsidRDefault="00300E12" w:rsidP="00D13CEF">
                      <w:pPr>
                        <w:pStyle w:val="SingleTxt"/>
                        <w:ind w:left="0" w:firstLineChars="400" w:firstLine="851"/>
                        <w:rPr>
                          <w:lang w:val="en-GB"/>
                        </w:rPr>
                      </w:pPr>
                      <w:r w:rsidRPr="00300E12">
                        <w:rPr>
                          <w:lang w:val="en-GB"/>
                        </w:rPr>
                        <w:t>(</w:t>
                      </w:r>
                      <w:r w:rsidRPr="00300E12">
                        <w:rPr>
                          <w:i/>
                          <w:lang w:val="en-GB"/>
                        </w:rPr>
                        <w:t>g</w:t>
                      </w:r>
                      <w:r w:rsidRPr="00300E12">
                        <w:rPr>
                          <w:lang w:val="en-GB"/>
                        </w:rPr>
                        <w:t>)</w:t>
                      </w:r>
                      <w:r w:rsidRPr="00300E12">
                        <w:rPr>
                          <w:lang w:val="en-GB"/>
                        </w:rPr>
                        <w:tab/>
                        <w:t>Substantially increase the availability of and access to multi-hazard early warning systems and disaster risk information and assessments to people by 2030.</w:t>
                      </w:r>
                      <w:bookmarkEnd w:id="1"/>
                    </w:p>
                  </w:txbxContent>
                </v:textbox>
                <w10:wrap type="square"/>
              </v:shape>
            </w:pict>
          </mc:Fallback>
        </mc:AlternateContent>
      </w:r>
      <w:r>
        <w:br w:type="page"/>
      </w:r>
    </w:p>
    <w:p w14:paraId="1B515D7E" w14:textId="792FA81E" w:rsidR="00700D28" w:rsidRDefault="00700D28" w:rsidP="008F7302"/>
    <w:p w14:paraId="5171E694" w14:textId="32DEA5B2" w:rsidR="00700D28" w:rsidRDefault="00700D28" w:rsidP="008F7302"/>
    <w:p w14:paraId="2A0CC769" w14:textId="6EC3F7D1" w:rsidR="00700D28" w:rsidRDefault="00300E12">
      <w:pPr>
        <w:widowControl/>
        <w:jc w:val="left"/>
      </w:pPr>
      <w:r>
        <w:rPr>
          <w:noProof/>
        </w:rPr>
        <mc:AlternateContent>
          <mc:Choice Requires="wps">
            <w:drawing>
              <wp:anchor distT="45720" distB="45720" distL="114300" distR="114300" simplePos="0" relativeHeight="251663360" behindDoc="0" locked="0" layoutInCell="1" allowOverlap="1" wp14:anchorId="6F06F6F2" wp14:editId="60D36BA8">
                <wp:simplePos x="0" y="0"/>
                <wp:positionH relativeFrom="margin">
                  <wp:align>right</wp:align>
                </wp:positionH>
                <wp:positionV relativeFrom="paragraph">
                  <wp:posOffset>180340</wp:posOffset>
                </wp:positionV>
                <wp:extent cx="4953635" cy="4333240"/>
                <wp:effectExtent l="0" t="0" r="18415" b="101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4333461"/>
                        </a:xfrm>
                        <a:prstGeom prst="rect">
                          <a:avLst/>
                        </a:prstGeom>
                        <a:solidFill>
                          <a:srgbClr val="FFFFFF"/>
                        </a:solidFill>
                        <a:ln w="9525">
                          <a:solidFill>
                            <a:srgbClr val="000000"/>
                          </a:solidFill>
                          <a:miter lim="800000"/>
                          <a:headEnd/>
                          <a:tailEnd/>
                        </a:ln>
                      </wps:spPr>
                      <wps:txbx>
                        <w:txbxContent>
                          <w:p w14:paraId="12C21FC3" w14:textId="1D9C3AF3" w:rsidR="00300E12" w:rsidRPr="00DC2825" w:rsidRDefault="00300E12" w:rsidP="00300E12">
                            <w:pPr>
                              <w:rPr>
                                <w:b/>
                                <w:sz w:val="22"/>
                              </w:rPr>
                            </w:pPr>
                            <w:r w:rsidRPr="00DC2825">
                              <w:rPr>
                                <w:b/>
                                <w:sz w:val="22"/>
                              </w:rPr>
                              <w:t>Box 3 Science and policy interface</w:t>
                            </w:r>
                          </w:p>
                          <w:p w14:paraId="3C494618" w14:textId="77777777" w:rsidR="00300E12" w:rsidRPr="00DC2825" w:rsidRDefault="00300E12" w:rsidP="00300E12">
                            <w:pPr>
                              <w:rPr>
                                <w:szCs w:val="21"/>
                              </w:rPr>
                            </w:pPr>
                            <w:r w:rsidRPr="00DC2825">
                              <w:rPr>
                                <w:szCs w:val="21"/>
                              </w:rPr>
                              <w:t>The Sendai Framework puts unprecedented emphasis on the role of science in understanding and delivering risk reduction. It builds on its predecessor, the Hyogo Framework for Action 2005−2015: Building the Resilience of Nations and Communities to Disasters, and reflects shifts in scientific thinking over the last 20 years, with a powerful implication that disasters are not natural events against which human societies are powerless, but are the result of the interaction between hazards (natural and human-made), exposure levels, and pre-existing vulnerability.</w:t>
                            </w:r>
                          </w:p>
                          <w:p w14:paraId="15661590" w14:textId="77777777" w:rsidR="00300E12" w:rsidRPr="00DC2825" w:rsidRDefault="00300E12" w:rsidP="00300E12">
                            <w:pPr>
                              <w:rPr>
                                <w:szCs w:val="21"/>
                              </w:rPr>
                            </w:pPr>
                            <w:r w:rsidRPr="00DC2825">
                              <w:rPr>
                                <w:szCs w:val="21"/>
                              </w:rPr>
                              <w:t>Important recommendations of the Sendai Framework to the scientific community and its partners include improving the scientific and public understanding of risk and optimizing the use of science for decision-making.</w:t>
                            </w:r>
                          </w:p>
                          <w:p w14:paraId="6F6C02C6" w14:textId="77777777" w:rsidR="00DC2825" w:rsidRPr="00DC2825" w:rsidRDefault="00DC2825" w:rsidP="00300E12">
                            <w:pPr>
                              <w:rPr>
                                <w:szCs w:val="21"/>
                              </w:rPr>
                            </w:pPr>
                          </w:p>
                          <w:p w14:paraId="45BAE8A6" w14:textId="28F5CEC0" w:rsidR="00DC2825" w:rsidRPr="00DC2825" w:rsidRDefault="00DC2825" w:rsidP="00300E12">
                            <w:pPr>
                              <w:rPr>
                                <w:szCs w:val="21"/>
                              </w:rPr>
                            </w:pPr>
                            <w:r w:rsidRPr="00DC2825">
                              <w:rPr>
                                <w:rFonts w:hint="eastAsia"/>
                                <w:szCs w:val="21"/>
                              </w:rPr>
                              <w:t>Paragraph 24</w:t>
                            </w:r>
                            <w:r w:rsidRPr="00DC2825">
                              <w:rPr>
                                <w:szCs w:val="21"/>
                              </w:rPr>
                              <w:t xml:space="preserve"> of the Sendai Framework</w:t>
                            </w:r>
                          </w:p>
                          <w:p w14:paraId="0B7FBA43" w14:textId="3192F81D" w:rsidR="00300E12" w:rsidRPr="00DC2825" w:rsidRDefault="00DC2825" w:rsidP="00300E12">
                            <w:pPr>
                              <w:rPr>
                                <w:szCs w:val="21"/>
                              </w:rPr>
                            </w:pPr>
                            <w:r w:rsidRPr="00DC2825">
                              <w:rPr>
                                <w:szCs w:val="21"/>
                              </w:rPr>
                              <w:t>(h)</w:t>
                            </w:r>
                            <w:r w:rsidRPr="00DC2825">
                              <w:rPr>
                                <w:szCs w:val="21"/>
                              </w:rPr>
                              <w:tab/>
                              <w:t>To promote and improve dialogue and cooperation among scientific and technological communities, other relevant stakeholders and policymakers in order to facilitate a science-policy interface for effective decision-making in disaster 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6F6F2" id="_x0000_s1028" type="#_x0000_t202" style="position:absolute;margin-left:338.85pt;margin-top:14.2pt;width:390.05pt;height:341.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">
                <v:textbox>
                  <w:txbxContent>
                    <w:p w14:paraId="12C21FC3" w14:textId="1D9C3AF3" w:rsidR="00300E12" w:rsidRPr="00DC2825" w:rsidRDefault="00300E12" w:rsidP="00300E12">
                      <w:pPr>
                        <w:rPr>
                          <w:b/>
                          <w:sz w:val="22"/>
                        </w:rPr>
                      </w:pPr>
                      <w:r w:rsidRPr="00DC2825">
                        <w:rPr>
                          <w:b/>
                          <w:sz w:val="22"/>
                        </w:rPr>
                        <w:t xml:space="preserve">Box 3 </w:t>
                      </w:r>
                      <w:r w:rsidRPr="00DC2825">
                        <w:rPr>
                          <w:b/>
                          <w:sz w:val="22"/>
                        </w:rPr>
                        <w:t>Science and policy interface</w:t>
                      </w:r>
                    </w:p>
                    <w:p w14:paraId="3C494618" w14:textId="77777777" w:rsidR="00300E12" w:rsidRPr="00DC2825" w:rsidRDefault="00300E12" w:rsidP="00300E12">
                      <w:pPr>
                        <w:rPr>
                          <w:szCs w:val="21"/>
                        </w:rPr>
                      </w:pPr>
                      <w:r w:rsidRPr="00DC2825">
                        <w:rPr>
                          <w:szCs w:val="21"/>
                        </w:rPr>
                        <w:t>The Sendai Framework puts unprecedented emphasis on the role of science in understanding and delivering risk reduction. It builds on its predecessor, the Hyogo Framework for Action 2005−2015: Building the Resilience of Nations and Communities to Disasters, and reflects shifts in scientific thinking over the last 20 years, with a powerful implication that disasters are not natural events against which human societies are powerless, but are the result of the interaction between hazards (natural and human-made), exposure levels, and pre-existing vulnerability.</w:t>
                      </w:r>
                    </w:p>
                    <w:p w14:paraId="15661590" w14:textId="77777777" w:rsidR="00300E12" w:rsidRPr="00DC2825" w:rsidRDefault="00300E12" w:rsidP="00300E12">
                      <w:pPr>
                        <w:rPr>
                          <w:szCs w:val="21"/>
                        </w:rPr>
                      </w:pPr>
                      <w:r w:rsidRPr="00DC2825">
                        <w:rPr>
                          <w:szCs w:val="21"/>
                        </w:rPr>
                        <w:t>Important recommendations of the Sendai Framework to the scientific community and its partners include improving the scientific and public understanding of risk and optimizing the use</w:t>
                      </w:r>
                      <w:r w:rsidRPr="00DC2825">
                        <w:rPr>
                          <w:szCs w:val="21"/>
                        </w:rPr>
                        <w:t xml:space="preserve"> </w:t>
                      </w:r>
                      <w:r w:rsidRPr="00DC2825">
                        <w:rPr>
                          <w:szCs w:val="21"/>
                        </w:rPr>
                        <w:t>of science for decision-making.</w:t>
                      </w:r>
                    </w:p>
                    <w:p w14:paraId="6F6C02C6" w14:textId="77777777" w:rsidR="00DC2825" w:rsidRPr="00DC2825" w:rsidRDefault="00DC2825" w:rsidP="00300E12">
                      <w:pPr>
                        <w:rPr>
                          <w:szCs w:val="21"/>
                        </w:rPr>
                      </w:pPr>
                    </w:p>
                    <w:p w14:paraId="45BAE8A6" w14:textId="28F5CEC0" w:rsidR="00DC2825" w:rsidRPr="00DC2825" w:rsidRDefault="00DC2825" w:rsidP="00300E12">
                      <w:pPr>
                        <w:rPr>
                          <w:szCs w:val="21"/>
                        </w:rPr>
                      </w:pPr>
                      <w:r w:rsidRPr="00DC2825">
                        <w:rPr>
                          <w:rFonts w:hint="eastAsia"/>
                          <w:szCs w:val="21"/>
                        </w:rPr>
                        <w:t>Paragraph 24</w:t>
                      </w:r>
                      <w:r w:rsidRPr="00DC2825">
                        <w:rPr>
                          <w:szCs w:val="21"/>
                        </w:rPr>
                        <w:t xml:space="preserve"> of the Sendai Framework</w:t>
                      </w:r>
                    </w:p>
                    <w:p w14:paraId="0B7FBA43" w14:textId="3192F81D" w:rsidR="00300E12" w:rsidRPr="00DC2825" w:rsidRDefault="00DC2825" w:rsidP="00300E12">
                      <w:pPr>
                        <w:rPr>
                          <w:szCs w:val="21"/>
                        </w:rPr>
                      </w:pPr>
                      <w:r w:rsidRPr="00DC2825">
                        <w:rPr>
                          <w:szCs w:val="21"/>
                        </w:rPr>
                        <w:t>(h)</w:t>
                      </w:r>
                      <w:r w:rsidRPr="00DC2825">
                        <w:rPr>
                          <w:szCs w:val="21"/>
                        </w:rPr>
                        <w:tab/>
                        <w:t>To promote and improve dialogue and cooperation among scientific and technological communities, other relevant stakeholders and policymakers in order to facilitate a science-policy interface for effective decision-making in disaster risk management;</w:t>
                      </w:r>
                    </w:p>
                  </w:txbxContent>
                </v:textbox>
                <w10:wrap type="square" anchorx="margin"/>
              </v:shape>
            </w:pict>
          </mc:Fallback>
        </mc:AlternateContent>
      </w:r>
      <w:r w:rsidR="00700D28">
        <w:br w:type="page"/>
      </w:r>
    </w:p>
    <w:p w14:paraId="6D9CA79F" w14:textId="12628613" w:rsidR="008F7302" w:rsidRDefault="008F7302" w:rsidP="008F7302">
      <w:pPr>
        <w:rPr>
          <w:b/>
        </w:rPr>
      </w:pPr>
      <w:r w:rsidRPr="00354C9B">
        <w:rPr>
          <w:b/>
        </w:rPr>
        <w:lastRenderedPageBreak/>
        <w:t>Bangkok Principles for the implementation of the health aspects</w:t>
      </w:r>
      <w:r w:rsidRPr="00354C9B">
        <w:br/>
      </w:r>
      <w:r w:rsidRPr="00354C9B">
        <w:rPr>
          <w:b/>
        </w:rPr>
        <w:t>of the Sendai Framework for Disaster Risk Reduction 2015-2030</w:t>
      </w:r>
    </w:p>
    <w:p w14:paraId="16703C51" w14:textId="77777777" w:rsidR="007A46F6" w:rsidRDefault="00E22A76" w:rsidP="00E22A76">
      <w:pPr>
        <w:rPr>
          <w:b/>
        </w:rPr>
      </w:pPr>
      <w:r>
        <w:rPr>
          <w:b/>
        </w:rPr>
        <w:tab/>
      </w:r>
    </w:p>
    <w:p w14:paraId="60CE9219" w14:textId="6AC6BF39" w:rsidR="00E22A76" w:rsidRPr="00E22A76" w:rsidRDefault="00E22A76" w:rsidP="007A46F6">
      <w:pPr>
        <w:ind w:firstLine="840"/>
      </w:pPr>
      <w:r>
        <w:t xml:space="preserve">The implementation of the health aspects of the Sendai Framework is a typical example of the application of a multi-hazard approach to disaster. </w:t>
      </w:r>
    </w:p>
    <w:p w14:paraId="2DD76C9C" w14:textId="798D40D5" w:rsidR="008F7302" w:rsidRDefault="008F7302" w:rsidP="00E22A76">
      <w:pPr>
        <w:ind w:firstLine="840"/>
      </w:pPr>
      <w:r w:rsidRPr="007D5B37">
        <w:t xml:space="preserve">The International Conference on the Implementation of the Health Aspect of the Sendai Framework for Disaster Risk Reduction 2015-2030, held on 10-11 March 2016, in Bangkok, Thailand, recommended </w:t>
      </w:r>
      <w:r w:rsidR="00FD0518">
        <w:t xml:space="preserve">a series of </w:t>
      </w:r>
      <w:r w:rsidRPr="007D5B37">
        <w:t>measures that could assist countries in implementing the health aspects of the Sendai Framework for Disaster Risk Reduction</w:t>
      </w:r>
      <w:r w:rsidR="00FD0518">
        <w:t xml:space="preserve"> (see Box 4 for the summary of the recommendations).</w:t>
      </w:r>
    </w:p>
    <w:p w14:paraId="6475208D" w14:textId="77777777" w:rsidR="00A174FF" w:rsidRDefault="00155D12" w:rsidP="008F7302">
      <w:pPr>
        <w:rPr>
          <w:color w:val="FF0000"/>
        </w:rPr>
      </w:pPr>
      <w:r w:rsidRPr="00E154A1">
        <w:rPr>
          <w:rFonts w:hint="eastAsia"/>
          <w:color w:val="FF0000"/>
        </w:rPr>
        <w:t xml:space="preserve"> </w:t>
      </w:r>
      <w:r w:rsidR="007A46F6">
        <w:rPr>
          <w:color w:val="FF0000"/>
        </w:rPr>
        <w:t xml:space="preserve">  </w:t>
      </w:r>
    </w:p>
    <w:tbl>
      <w:tblPr>
        <w:tblpPr w:leftFromText="142" w:rightFromText="142" w:vertAnchor="page" w:horzAnchor="margin" w:tblpY="2574"/>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3"/>
      </w:tblGrid>
      <w:tr w:rsidR="00A174FF" w:rsidRPr="00DD326E" w14:paraId="7431F448" w14:textId="77777777" w:rsidTr="00D6238C">
        <w:trPr>
          <w:trHeight w:val="9913"/>
        </w:trPr>
        <w:tc>
          <w:tcPr>
            <w:tcW w:w="8403" w:type="dxa"/>
          </w:tcPr>
          <w:p w14:paraId="7C6EA327" w14:textId="77777777" w:rsidR="00A174FF" w:rsidRPr="00155D12" w:rsidRDefault="00A174FF" w:rsidP="00D6238C">
            <w:pPr>
              <w:ind w:leftChars="134" w:left="281" w:firstLine="1"/>
              <w:rPr>
                <w:b/>
                <w:sz w:val="22"/>
              </w:rPr>
            </w:pPr>
            <w:r w:rsidRPr="00155D12">
              <w:rPr>
                <w:rFonts w:hint="eastAsia"/>
                <w:b/>
                <w:sz w:val="22"/>
              </w:rPr>
              <w:lastRenderedPageBreak/>
              <w:t>B</w:t>
            </w:r>
            <w:r w:rsidRPr="00155D12">
              <w:rPr>
                <w:b/>
                <w:sz w:val="22"/>
              </w:rPr>
              <w:t>ox 4  Bangkok Principles for the implementation of the health aspects</w:t>
            </w:r>
          </w:p>
          <w:p w14:paraId="3B75F885" w14:textId="77777777" w:rsidR="00A174FF" w:rsidRDefault="00A174FF" w:rsidP="00D6238C">
            <w:pPr>
              <w:ind w:leftChars="134" w:left="281" w:firstLine="1"/>
              <w:rPr>
                <w:b/>
                <w:sz w:val="22"/>
              </w:rPr>
            </w:pPr>
            <w:r w:rsidRPr="00155D12">
              <w:rPr>
                <w:b/>
                <w:sz w:val="22"/>
              </w:rPr>
              <w:t>of the Sendai Framework for Disaster Risk Reduction 2015-2030</w:t>
            </w:r>
          </w:p>
          <w:p w14:paraId="37CBC8C7" w14:textId="77777777" w:rsidR="00A174FF" w:rsidRPr="00155D12" w:rsidRDefault="00A174FF" w:rsidP="00D6238C">
            <w:pPr>
              <w:ind w:leftChars="134" w:left="281" w:firstLine="1"/>
              <w:rPr>
                <w:b/>
                <w:sz w:val="22"/>
              </w:rPr>
            </w:pPr>
          </w:p>
          <w:p w14:paraId="1FE2588E" w14:textId="77777777" w:rsidR="00A174FF" w:rsidRPr="007D5B37" w:rsidRDefault="00A174FF" w:rsidP="00D6238C">
            <w:pPr>
              <w:ind w:leftChars="188" w:left="395" w:firstLine="1"/>
            </w:pPr>
            <w:r>
              <w:t xml:space="preserve">Principle </w:t>
            </w:r>
            <w:r w:rsidRPr="007D5B37">
              <w:t xml:space="preserve">1. Promote systematic integration of health into national and sub-national disaster risk reduction policies and plans and the inclusion of emergency and disaster risk management programmes in national and sub-national health strategies; </w:t>
            </w:r>
          </w:p>
          <w:p w14:paraId="496C0665" w14:textId="77777777" w:rsidR="00A174FF" w:rsidRPr="007D5B37" w:rsidRDefault="00A174FF" w:rsidP="00D6238C">
            <w:pPr>
              <w:ind w:leftChars="188" w:left="395" w:firstLine="1"/>
            </w:pPr>
            <w:r w:rsidRPr="007D5B37">
              <w:t xml:space="preserve">  </w:t>
            </w:r>
            <w:r>
              <w:t xml:space="preserve">Action to: </w:t>
            </w:r>
            <w:r w:rsidRPr="007D5B37">
              <w:t>Increase the participation of health sector representatives in multi-sectoral emergency and disaster risk management committees and platforms at all levels</w:t>
            </w:r>
            <w:r>
              <w:t>;</w:t>
            </w:r>
            <w:r w:rsidRPr="007D5B37">
              <w:t xml:space="preserve"> and Strengthen the integration of biological hazards, including epidemics, pandemics, and diseases at the human-animal-ecosystem interface, into all-hazards multi-sectoral disaster risk management.</w:t>
            </w:r>
          </w:p>
          <w:p w14:paraId="503E1D1E" w14:textId="77777777" w:rsidR="00A174FF" w:rsidRPr="007D5B37" w:rsidRDefault="00A174FF" w:rsidP="00D6238C">
            <w:pPr>
              <w:ind w:leftChars="188" w:left="395" w:firstLine="1"/>
            </w:pPr>
            <w:r>
              <w:t xml:space="preserve">Principle </w:t>
            </w:r>
            <w:r w:rsidRPr="007D5B37">
              <w:t>3. Stimulate people-centered public and private investment in emergency and disaster risk reduction, including in health facilities and infrastructure;</w:t>
            </w:r>
          </w:p>
          <w:p w14:paraId="79EFEC39" w14:textId="77777777" w:rsidR="00A174FF" w:rsidRPr="007D5B37" w:rsidRDefault="00A174FF" w:rsidP="00D6238C">
            <w:pPr>
              <w:ind w:leftChars="188" w:left="395" w:firstLineChars="50" w:firstLine="105"/>
            </w:pPr>
            <w:r>
              <w:t xml:space="preserve">Action to </w:t>
            </w:r>
            <w:r w:rsidRPr="007D5B37">
              <w:t>Promote investment in research and development and enhance innovation and the use of modern technologies and modelling for managing disaster risks including for biological hazards.</w:t>
            </w:r>
          </w:p>
          <w:p w14:paraId="04464F3B" w14:textId="77777777" w:rsidR="00A174FF" w:rsidRPr="007D5B37" w:rsidRDefault="00A174FF" w:rsidP="00D6238C">
            <w:pPr>
              <w:ind w:leftChars="188" w:left="395" w:firstLine="1"/>
            </w:pPr>
            <w:r w:rsidRPr="007D5B37">
              <w:t xml:space="preserve"> </w:t>
            </w:r>
            <w:r>
              <w:t xml:space="preserve">Principle </w:t>
            </w:r>
            <w:r w:rsidRPr="007D5B37">
              <w:t xml:space="preserve">5. Incorporate disaster-related mortality, morbidity and disability data into </w:t>
            </w:r>
            <w:r w:rsidRPr="00354C9B">
              <w:t>multi-hazards early warning system, health core indicators and national risk assessments;</w:t>
            </w:r>
          </w:p>
          <w:p w14:paraId="185A3C1D" w14:textId="77777777" w:rsidR="00A174FF" w:rsidRDefault="00A174FF" w:rsidP="00D6238C">
            <w:pPr>
              <w:ind w:leftChars="188" w:left="395" w:firstLine="1"/>
            </w:pPr>
            <w:r w:rsidRPr="007D5B37">
              <w:t xml:space="preserve">   </w:t>
            </w:r>
            <w:r>
              <w:t xml:space="preserve">Action to </w:t>
            </w:r>
            <w:r w:rsidRPr="007D5B37">
              <w:t xml:space="preserve">Include biological hazards and zoonotic diseases as well as chemical and </w:t>
            </w:r>
            <w:r w:rsidRPr="00354C9B">
              <w:rPr>
                <w:u w:val="single"/>
              </w:rPr>
              <w:t>radiation hazards</w:t>
            </w:r>
            <w:r w:rsidRPr="007A46F6">
              <w:rPr>
                <w:u w:val="single"/>
              </w:rPr>
              <w:t xml:space="preserve"> </w:t>
            </w:r>
            <w:r w:rsidRPr="007D5B37">
              <w:t xml:space="preserve">in disaster risk assessment and multi-hazard early warning systems; and Include health-related disaster losses (illness, injury, psychosocial effects, as well as damage, and disruption of health facilities and services) and other relevant disaggregated data by sex, age and disability in disaster loss databases.             </w:t>
            </w:r>
          </w:p>
          <w:p w14:paraId="58C0E86B" w14:textId="77777777" w:rsidR="00A174FF" w:rsidRPr="007A46F6" w:rsidRDefault="00A174FF" w:rsidP="00D6238C">
            <w:pPr>
              <w:ind w:leftChars="188" w:left="395" w:firstLine="1"/>
              <w:rPr>
                <w:lang w:val="fr-CH"/>
              </w:rPr>
            </w:pPr>
            <w:r w:rsidRPr="007A46F6">
              <w:rPr>
                <w:lang w:val="fr-CH"/>
              </w:rPr>
              <w:t>Source: http://www.who.int/hac/events/2016/Bangkok_Principles.pdf</w:t>
            </w:r>
          </w:p>
          <w:p w14:paraId="7BA14070" w14:textId="77777777" w:rsidR="00A174FF" w:rsidRPr="007A46F6" w:rsidRDefault="00A174FF" w:rsidP="00D6238C">
            <w:pPr>
              <w:rPr>
                <w:lang w:val="fr-CH"/>
              </w:rPr>
            </w:pPr>
          </w:p>
        </w:tc>
      </w:tr>
    </w:tbl>
    <w:p w14:paraId="3B756811" w14:textId="77777777" w:rsidR="00A174FF" w:rsidRPr="007A46F6" w:rsidRDefault="00A174FF" w:rsidP="00A174FF">
      <w:pPr>
        <w:autoSpaceDE w:val="0"/>
        <w:autoSpaceDN w:val="0"/>
        <w:adjustRightInd w:val="0"/>
        <w:ind w:firstLineChars="400" w:firstLine="840"/>
        <w:rPr>
          <w:rFonts w:ascii="Calibri" w:eastAsia="PMingLiU" w:hAnsi="Calibri" w:cs="Times New Roman"/>
          <w:color w:val="5B9BD5" w:themeColor="accent1"/>
          <w:lang w:val="fr-CH" w:eastAsia="zh-TW"/>
        </w:rPr>
      </w:pPr>
    </w:p>
    <w:p w14:paraId="2725FCFC" w14:textId="760622E2" w:rsidR="008F7302" w:rsidRPr="00A174FF" w:rsidRDefault="008F7302" w:rsidP="008F7302">
      <w:pPr>
        <w:rPr>
          <w:color w:val="FF0000"/>
          <w:lang w:val="fr-CH"/>
        </w:rPr>
      </w:pPr>
    </w:p>
    <w:p w14:paraId="336059EB" w14:textId="77777777" w:rsidR="007A46F6" w:rsidRPr="00A174FF" w:rsidRDefault="007A46F6" w:rsidP="008F7302">
      <w:pPr>
        <w:rPr>
          <w:color w:val="FF0000"/>
          <w:lang w:val="fr-CH"/>
        </w:rPr>
      </w:pPr>
    </w:p>
    <w:p w14:paraId="79E83FC4" w14:textId="703B5B30" w:rsidR="007A46F6" w:rsidRPr="008C04C3" w:rsidRDefault="007A46F6" w:rsidP="008F7302">
      <w:pPr>
        <w:rPr>
          <w:b/>
          <w:sz w:val="22"/>
        </w:rPr>
      </w:pPr>
      <w:r w:rsidRPr="008C04C3">
        <w:rPr>
          <w:b/>
          <w:sz w:val="22"/>
        </w:rPr>
        <w:t xml:space="preserve">Conclusions </w:t>
      </w:r>
    </w:p>
    <w:p w14:paraId="21E31C5F" w14:textId="4DCDF802" w:rsidR="000F4A81" w:rsidRPr="008C04C3" w:rsidRDefault="007A46F6" w:rsidP="00C6299B">
      <w:pPr>
        <w:ind w:firstLine="840"/>
        <w:rPr>
          <w:b/>
          <w:sz w:val="22"/>
        </w:rPr>
      </w:pPr>
      <w:r w:rsidRPr="008C04C3">
        <w:rPr>
          <w:b/>
          <w:sz w:val="22"/>
        </w:rPr>
        <w:t>The ISDR is actively following up the agreed Framework in Sendai, mainly in the context of the formulation of the Word</w:t>
      </w:r>
      <w:r w:rsidR="000F4A81" w:rsidRPr="008C04C3">
        <w:rPr>
          <w:b/>
          <w:sz w:val="22"/>
        </w:rPr>
        <w:t xml:space="preserve">s into Action in response to paragraph </w:t>
      </w:r>
      <w:r w:rsidR="000F4A81" w:rsidRPr="00354C9B">
        <w:rPr>
          <w:b/>
          <w:sz w:val="22"/>
        </w:rPr>
        <w:lastRenderedPageBreak/>
        <w:t>48 (c)</w:t>
      </w:r>
      <w:r w:rsidR="000F4A81" w:rsidRPr="008C04C3">
        <w:rPr>
          <w:b/>
          <w:sz w:val="22"/>
        </w:rPr>
        <w:t xml:space="preserve"> of the Framework as well as periodic reviews on progress, in particular for the Global Platform for Disaster Risk Reduction. </w:t>
      </w:r>
    </w:p>
    <w:p w14:paraId="0968C76D" w14:textId="3F134C7D" w:rsidR="003D00D7" w:rsidRPr="008C04C3" w:rsidRDefault="000F4A81" w:rsidP="00C6299B">
      <w:pPr>
        <w:ind w:firstLine="840"/>
        <w:rPr>
          <w:b/>
          <w:sz w:val="22"/>
        </w:rPr>
      </w:pPr>
      <w:r w:rsidRPr="008C04C3">
        <w:rPr>
          <w:b/>
          <w:sz w:val="22"/>
        </w:rPr>
        <w:t xml:space="preserve">Based on the previous Words into action guide for implementation of the Hyogo Framework for Action, the ISDR secretariat is developing </w:t>
      </w:r>
      <w:r w:rsidR="003D00D7" w:rsidRPr="008C04C3">
        <w:rPr>
          <w:b/>
          <w:sz w:val="22"/>
        </w:rPr>
        <w:t xml:space="preserve">a number of targeted Sendai Framework implementation guides. That includes </w:t>
      </w:r>
      <w:r w:rsidR="003D00D7" w:rsidRPr="00354C9B">
        <w:rPr>
          <w:b/>
          <w:sz w:val="22"/>
        </w:rPr>
        <w:t>Words into Action Guide</w:t>
      </w:r>
      <w:r w:rsidR="00C6299B" w:rsidRPr="00354C9B">
        <w:rPr>
          <w:b/>
          <w:sz w:val="22"/>
        </w:rPr>
        <w:t xml:space="preserve"> o</w:t>
      </w:r>
      <w:r w:rsidR="003D00D7" w:rsidRPr="00354C9B">
        <w:rPr>
          <w:b/>
          <w:sz w:val="22"/>
        </w:rPr>
        <w:t>n Man-made/Technological Hazards</w:t>
      </w:r>
      <w:r w:rsidR="003D00D7" w:rsidRPr="008C04C3">
        <w:rPr>
          <w:b/>
          <w:sz w:val="22"/>
        </w:rPr>
        <w:t xml:space="preserve"> containing practical implementation guide on Nuclear/Radiological hazards together with other technological hazards such as Chemical/Industrial accidents</w:t>
      </w:r>
      <w:r w:rsidR="00C6299B" w:rsidRPr="008C04C3">
        <w:rPr>
          <w:b/>
          <w:sz w:val="22"/>
        </w:rPr>
        <w:t xml:space="preserve">; </w:t>
      </w:r>
      <w:r w:rsidR="003D00D7" w:rsidRPr="008C04C3">
        <w:rPr>
          <w:b/>
          <w:sz w:val="22"/>
        </w:rPr>
        <w:t>Marine Incidents</w:t>
      </w:r>
      <w:r w:rsidR="00C6299B" w:rsidRPr="008C04C3">
        <w:rPr>
          <w:b/>
          <w:sz w:val="22"/>
        </w:rPr>
        <w:t xml:space="preserve">; </w:t>
      </w:r>
      <w:r w:rsidR="003D00D7" w:rsidRPr="008C04C3">
        <w:rPr>
          <w:b/>
          <w:sz w:val="22"/>
        </w:rPr>
        <w:t>Transport Accidents</w:t>
      </w:r>
      <w:r w:rsidR="00C6299B" w:rsidRPr="008C04C3">
        <w:rPr>
          <w:b/>
          <w:sz w:val="22"/>
        </w:rPr>
        <w:t>. It is intended to provide p</w:t>
      </w:r>
      <w:r w:rsidR="003D00D7" w:rsidRPr="008C04C3">
        <w:rPr>
          <w:b/>
          <w:sz w:val="22"/>
        </w:rPr>
        <w:t xml:space="preserve">ractical </w:t>
      </w:r>
      <w:r w:rsidR="00C6299B" w:rsidRPr="008C04C3">
        <w:rPr>
          <w:b/>
          <w:sz w:val="22"/>
        </w:rPr>
        <w:t>c</w:t>
      </w:r>
      <w:r w:rsidR="003D00D7" w:rsidRPr="008C04C3">
        <w:rPr>
          <w:b/>
          <w:sz w:val="22"/>
        </w:rPr>
        <w:t xml:space="preserve">onsiderations for </w:t>
      </w:r>
      <w:r w:rsidR="00C6299B" w:rsidRPr="008C04C3">
        <w:rPr>
          <w:b/>
          <w:sz w:val="22"/>
        </w:rPr>
        <w:t>a</w:t>
      </w:r>
      <w:r w:rsidR="003D00D7" w:rsidRPr="008C04C3">
        <w:rPr>
          <w:b/>
          <w:sz w:val="22"/>
        </w:rPr>
        <w:t xml:space="preserve">ddressing </w:t>
      </w:r>
      <w:r w:rsidR="00C6299B" w:rsidRPr="008C04C3">
        <w:rPr>
          <w:b/>
          <w:sz w:val="22"/>
        </w:rPr>
        <w:t>m</w:t>
      </w:r>
      <w:r w:rsidR="003D00D7" w:rsidRPr="008C04C3">
        <w:rPr>
          <w:b/>
          <w:sz w:val="22"/>
        </w:rPr>
        <w:t>an-made/</w:t>
      </w:r>
      <w:r w:rsidR="00C6299B" w:rsidRPr="008C04C3">
        <w:rPr>
          <w:b/>
          <w:sz w:val="22"/>
        </w:rPr>
        <w:t>t</w:t>
      </w:r>
      <w:r w:rsidR="003D00D7" w:rsidRPr="008C04C3">
        <w:rPr>
          <w:b/>
          <w:sz w:val="22"/>
        </w:rPr>
        <w:t xml:space="preserve">echnological </w:t>
      </w:r>
      <w:r w:rsidR="00C6299B" w:rsidRPr="008C04C3">
        <w:rPr>
          <w:b/>
          <w:sz w:val="22"/>
        </w:rPr>
        <w:t>h</w:t>
      </w:r>
      <w:r w:rsidR="003D00D7" w:rsidRPr="008C04C3">
        <w:rPr>
          <w:b/>
          <w:sz w:val="22"/>
        </w:rPr>
        <w:t xml:space="preserve">azards in </w:t>
      </w:r>
      <w:r w:rsidR="00C6299B" w:rsidRPr="008C04C3">
        <w:rPr>
          <w:b/>
          <w:sz w:val="22"/>
        </w:rPr>
        <w:t>d</w:t>
      </w:r>
      <w:r w:rsidR="003D00D7" w:rsidRPr="008C04C3">
        <w:rPr>
          <w:b/>
          <w:sz w:val="22"/>
        </w:rPr>
        <w:t xml:space="preserve">isaster </w:t>
      </w:r>
      <w:r w:rsidR="00C6299B" w:rsidRPr="008C04C3">
        <w:rPr>
          <w:b/>
          <w:sz w:val="22"/>
        </w:rPr>
        <w:t>risk r</w:t>
      </w:r>
      <w:r w:rsidR="003D00D7" w:rsidRPr="008C04C3">
        <w:rPr>
          <w:b/>
          <w:sz w:val="22"/>
        </w:rPr>
        <w:t>eduction</w:t>
      </w:r>
      <w:r w:rsidR="00C6299B" w:rsidRPr="008C04C3">
        <w:rPr>
          <w:b/>
          <w:sz w:val="22"/>
        </w:rPr>
        <w:t>.</w:t>
      </w:r>
    </w:p>
    <w:p w14:paraId="77F8BF0E" w14:textId="6E51AAE9" w:rsidR="00C6299B" w:rsidRPr="008C04C3" w:rsidRDefault="00C6299B" w:rsidP="000F4A81">
      <w:pPr>
        <w:rPr>
          <w:b/>
          <w:sz w:val="22"/>
        </w:rPr>
      </w:pPr>
      <w:r w:rsidRPr="008C04C3">
        <w:rPr>
          <w:b/>
          <w:sz w:val="22"/>
        </w:rPr>
        <w:tab/>
      </w:r>
      <w:r w:rsidR="008C04C3" w:rsidRPr="008C04C3">
        <w:rPr>
          <w:b/>
          <w:sz w:val="22"/>
        </w:rPr>
        <w:t xml:space="preserve">The 2017 Global Platform for Disaster Risk Reduction will be held in Cancun, Mexico on 22-26 May. </w:t>
      </w:r>
      <w:r w:rsidR="006472D8">
        <w:rPr>
          <w:b/>
          <w:sz w:val="22"/>
        </w:rPr>
        <w:t>In the light of the progress made at Sendai, the scope of discussion at Cancun will be broad enough to address radiation hazards. As pointed out by UNU-IAS’s report, “N</w:t>
      </w:r>
      <w:r w:rsidR="00BB524E" w:rsidRPr="00BB524E">
        <w:rPr>
          <w:b/>
          <w:sz w:val="22"/>
        </w:rPr>
        <w:t>uclear emergency preparedness remains a highly speciali</w:t>
      </w:r>
      <w:r w:rsidR="00BB524E">
        <w:rPr>
          <w:b/>
          <w:sz w:val="22"/>
        </w:rPr>
        <w:t>z</w:t>
      </w:r>
      <w:r w:rsidR="00BB524E" w:rsidRPr="00BB524E">
        <w:rPr>
          <w:b/>
          <w:sz w:val="22"/>
        </w:rPr>
        <w:t>ed and closed field.</w:t>
      </w:r>
      <w:r w:rsidR="006472D8">
        <w:rPr>
          <w:b/>
          <w:sz w:val="22"/>
        </w:rPr>
        <w:t>”</w:t>
      </w:r>
      <w:r w:rsidR="006472D8">
        <w:rPr>
          <w:rStyle w:val="aa"/>
          <w:b/>
          <w:sz w:val="22"/>
        </w:rPr>
        <w:footnoteReference w:id="22"/>
      </w:r>
      <w:r w:rsidR="00BB524E" w:rsidRPr="00BB524E">
        <w:rPr>
          <w:b/>
          <w:sz w:val="22"/>
        </w:rPr>
        <w:t xml:space="preserve"> </w:t>
      </w:r>
      <w:r w:rsidR="00227327">
        <w:rPr>
          <w:b/>
          <w:sz w:val="22"/>
        </w:rPr>
        <w:t>In order to ensure science-policy interface between radiation experts and the DRR community, the ISDR Science and Technology Conference in January 2016 benefitted from the expertise offered by</w:t>
      </w:r>
      <w:r w:rsidR="00A250B7">
        <w:rPr>
          <w:b/>
          <w:sz w:val="22"/>
        </w:rPr>
        <w:t xml:space="preserve"> international leading radiological medicine specialists from Nagasaki University and discussed the necessity of </w:t>
      </w:r>
      <w:r w:rsidR="00AE372C">
        <w:rPr>
          <w:b/>
          <w:sz w:val="22"/>
        </w:rPr>
        <w:t xml:space="preserve">a </w:t>
      </w:r>
      <w:r w:rsidR="00AE372C" w:rsidRPr="00AE372C">
        <w:rPr>
          <w:b/>
          <w:sz w:val="22"/>
        </w:rPr>
        <w:t>Global Research Platform on Nuclear Disaster Risk Reduction and Recovery</w:t>
      </w:r>
      <w:r w:rsidR="00AE372C">
        <w:rPr>
          <w:b/>
          <w:sz w:val="22"/>
        </w:rPr>
        <w:t xml:space="preserve"> for Scientific and T</w:t>
      </w:r>
      <w:r w:rsidR="00AE372C" w:rsidRPr="00AE372C">
        <w:rPr>
          <w:b/>
          <w:sz w:val="22"/>
        </w:rPr>
        <w:t xml:space="preserve">echnical </w:t>
      </w:r>
      <w:r w:rsidR="00AE372C">
        <w:rPr>
          <w:b/>
          <w:sz w:val="22"/>
        </w:rPr>
        <w:t>P</w:t>
      </w:r>
      <w:r w:rsidR="00AE372C" w:rsidRPr="00AE372C">
        <w:rPr>
          <w:b/>
          <w:sz w:val="22"/>
        </w:rPr>
        <w:t>artnership, like the International Recovery Platform (IRP, launched by the Second WCDRR at Kobe)</w:t>
      </w:r>
      <w:r w:rsidR="00AE372C">
        <w:rPr>
          <w:b/>
          <w:sz w:val="22"/>
        </w:rPr>
        <w:t xml:space="preserve">. </w:t>
      </w:r>
      <w:r w:rsidR="00AE372C" w:rsidRPr="00AE372C">
        <w:rPr>
          <w:b/>
          <w:sz w:val="22"/>
        </w:rPr>
        <w:t xml:space="preserve"> </w:t>
      </w:r>
      <w:r w:rsidR="00BB524E" w:rsidRPr="00BB524E">
        <w:rPr>
          <w:b/>
          <w:sz w:val="22"/>
        </w:rPr>
        <w:t xml:space="preserve">This </w:t>
      </w:r>
      <w:r w:rsidR="00AE372C">
        <w:rPr>
          <w:b/>
          <w:sz w:val="22"/>
        </w:rPr>
        <w:t>w</w:t>
      </w:r>
      <w:r w:rsidR="00E55986">
        <w:rPr>
          <w:b/>
          <w:sz w:val="22"/>
        </w:rPr>
        <w:t xml:space="preserve">ould </w:t>
      </w:r>
      <w:r w:rsidR="00AE372C">
        <w:rPr>
          <w:b/>
          <w:sz w:val="22"/>
        </w:rPr>
        <w:t>contribute to o</w:t>
      </w:r>
      <w:r w:rsidR="00BB524E" w:rsidRPr="00BB524E">
        <w:rPr>
          <w:b/>
          <w:sz w:val="22"/>
        </w:rPr>
        <w:t xml:space="preserve">pening up </w:t>
      </w:r>
      <w:r w:rsidR="00AE372C">
        <w:rPr>
          <w:b/>
          <w:sz w:val="22"/>
        </w:rPr>
        <w:t xml:space="preserve">interface between radiation disaster experts and the DRR community and their </w:t>
      </w:r>
      <w:r w:rsidR="00BB524E" w:rsidRPr="00BB524E">
        <w:rPr>
          <w:b/>
          <w:sz w:val="22"/>
        </w:rPr>
        <w:t>engagement with local communi</w:t>
      </w:r>
      <w:r w:rsidR="00AE372C">
        <w:rPr>
          <w:b/>
          <w:sz w:val="22"/>
        </w:rPr>
        <w:t>t</w:t>
      </w:r>
      <w:r w:rsidR="00E55986">
        <w:rPr>
          <w:b/>
          <w:sz w:val="22"/>
        </w:rPr>
        <w:t>ies</w:t>
      </w:r>
      <w:r w:rsidR="00AE372C">
        <w:rPr>
          <w:b/>
          <w:sz w:val="22"/>
        </w:rPr>
        <w:t xml:space="preserve"> to provide </w:t>
      </w:r>
      <w:r w:rsidR="00E55986">
        <w:rPr>
          <w:b/>
          <w:sz w:val="22"/>
        </w:rPr>
        <w:t xml:space="preserve">them with </w:t>
      </w:r>
      <w:r w:rsidR="00AE372C">
        <w:rPr>
          <w:b/>
          <w:sz w:val="22"/>
        </w:rPr>
        <w:t xml:space="preserve">better risk </w:t>
      </w:r>
      <w:r w:rsidR="00BB524E" w:rsidRPr="00BB524E">
        <w:rPr>
          <w:b/>
          <w:sz w:val="22"/>
        </w:rPr>
        <w:t xml:space="preserve">communication </w:t>
      </w:r>
      <w:r w:rsidR="00E55986">
        <w:rPr>
          <w:b/>
          <w:sz w:val="22"/>
        </w:rPr>
        <w:t xml:space="preserve">on imminent and </w:t>
      </w:r>
      <w:r w:rsidR="00BB524E" w:rsidRPr="00BB524E">
        <w:rPr>
          <w:b/>
          <w:sz w:val="22"/>
        </w:rPr>
        <w:t>potential risks.</w:t>
      </w:r>
    </w:p>
    <w:p w14:paraId="1A58BE98" w14:textId="77777777" w:rsidR="00A174FF" w:rsidRPr="000F4A81" w:rsidRDefault="000F4A81" w:rsidP="00E55986">
      <w:pPr>
        <w:rPr>
          <w:b/>
          <w:color w:val="FF0000"/>
          <w:sz w:val="22"/>
        </w:rPr>
      </w:pPr>
      <w:r w:rsidRPr="008C04C3">
        <w:rPr>
          <w:b/>
          <w:sz w:val="22"/>
        </w:rPr>
        <w:t xml:space="preserve">  </w:t>
      </w:r>
      <w:r w:rsidR="007A46F6" w:rsidRPr="008C04C3">
        <w:rPr>
          <w:b/>
          <w:sz w:val="22"/>
        </w:rPr>
        <w:t xml:space="preserve"> </w:t>
      </w:r>
    </w:p>
    <w:p w14:paraId="48A2BFFE" w14:textId="77777777" w:rsidR="00AB759B" w:rsidRPr="00AB759B" w:rsidRDefault="00AB759B" w:rsidP="00776833">
      <w:pPr>
        <w:ind w:firstLine="735"/>
        <w:rPr>
          <w:rStyle w:val="apple-converted-space"/>
          <w:rFonts w:ascii="Calibri" w:hAnsi="Calibri" w:cs="Calibri"/>
          <w:color w:val="000000"/>
          <w:shd w:val="clear" w:color="auto" w:fill="FFFFFF"/>
        </w:rPr>
      </w:pPr>
    </w:p>
    <w:p w14:paraId="79F3D447" w14:textId="157732C9" w:rsidR="005739FC" w:rsidRDefault="000070CD" w:rsidP="00371B09">
      <w:pPr>
        <w:jc w:val="left"/>
        <w:rPr>
          <w:rStyle w:val="apple-converted-space"/>
          <w:rFonts w:ascii="Calibri" w:hAnsi="Calibri" w:cs="Calibri"/>
          <w:b/>
          <w:color w:val="000000"/>
          <w:sz w:val="24"/>
          <w:szCs w:val="24"/>
          <w:shd w:val="clear" w:color="auto" w:fill="FFFFFF"/>
        </w:rPr>
      </w:pPr>
      <w:r w:rsidRPr="00371B09">
        <w:rPr>
          <w:rStyle w:val="apple-converted-space"/>
          <w:rFonts w:ascii="Calibri" w:hAnsi="Calibri" w:cs="Calibri"/>
          <w:b/>
          <w:color w:val="000000"/>
          <w:sz w:val="24"/>
          <w:szCs w:val="24"/>
          <w:shd w:val="clear" w:color="auto" w:fill="FFFFFF"/>
        </w:rPr>
        <w:t>Annex: Web-links related to nuclear DRR reference materials</w:t>
      </w:r>
    </w:p>
    <w:p w14:paraId="551CD777" w14:textId="4E82DC47" w:rsidR="00371B09" w:rsidRPr="00371B09" w:rsidRDefault="00371B09" w:rsidP="00371B09">
      <w:pPr>
        <w:jc w:val="left"/>
        <w:rPr>
          <w:rStyle w:val="apple-converted-space"/>
          <w:rFonts w:ascii="Calibri" w:hAnsi="Calibri" w:cs="Calibri" w:hint="eastAsia"/>
          <w:b/>
          <w:color w:val="000000"/>
          <w:sz w:val="24"/>
          <w:szCs w:val="24"/>
          <w:shd w:val="clear" w:color="auto" w:fill="FFFFFF"/>
        </w:rPr>
      </w:pPr>
      <w:r>
        <w:rPr>
          <w:rStyle w:val="apple-converted-space"/>
          <w:rFonts w:ascii="Calibri" w:hAnsi="Calibri" w:cs="Calibri"/>
          <w:b/>
          <w:color w:val="000000"/>
          <w:sz w:val="24"/>
          <w:szCs w:val="24"/>
          <w:shd w:val="clear" w:color="auto" w:fill="FFFFFF"/>
        </w:rPr>
        <w:tab/>
      </w:r>
    </w:p>
    <w:p w14:paraId="1D4231E8" w14:textId="77777777" w:rsidR="00371B09" w:rsidRPr="00CC76C3" w:rsidRDefault="00371B09" w:rsidP="00371B09">
      <w:pPr>
        <w:rPr>
          <w:b/>
          <w:color w:val="FF0000"/>
        </w:rPr>
      </w:pPr>
      <w:r w:rsidRPr="00CC76C3">
        <w:rPr>
          <w:b/>
          <w:color w:val="FF0000"/>
        </w:rPr>
        <w:t>IAEA Safety Standards Series</w:t>
      </w:r>
    </w:p>
    <w:p w14:paraId="0F814728" w14:textId="77777777" w:rsidR="00371B09" w:rsidRPr="00CC76C3" w:rsidRDefault="00371B09" w:rsidP="00371B09">
      <w:pPr>
        <w:rPr>
          <w:b/>
          <w:color w:val="FF0000"/>
        </w:rPr>
      </w:pPr>
      <w:r w:rsidRPr="00CC76C3">
        <w:rPr>
          <w:b/>
          <w:color w:val="FF0000"/>
        </w:rPr>
        <w:t>http://www-pub.iaea.org/books/IAEABooks/Series/33/Safety-Standards-Series</w:t>
      </w:r>
    </w:p>
    <w:p w14:paraId="6D939402" w14:textId="77777777" w:rsidR="00371B09" w:rsidRPr="00CC76C3" w:rsidRDefault="00371B09" w:rsidP="00371B09">
      <w:pPr>
        <w:rPr>
          <w:b/>
          <w:color w:val="FF0000"/>
        </w:rPr>
      </w:pPr>
    </w:p>
    <w:p w14:paraId="51A1FFB2" w14:textId="77777777" w:rsidR="00371B09" w:rsidRPr="00CC76C3" w:rsidRDefault="00371B09" w:rsidP="00371B09">
      <w:pPr>
        <w:rPr>
          <w:b/>
          <w:color w:val="FF0000"/>
        </w:rPr>
      </w:pPr>
      <w:r w:rsidRPr="00CC76C3">
        <w:rPr>
          <w:b/>
          <w:color w:val="FF0000"/>
        </w:rPr>
        <w:t>IAEA Resources in Emergency Preparedness and Response</w:t>
      </w:r>
    </w:p>
    <w:p w14:paraId="4EDB29F4" w14:textId="77777777" w:rsidR="00371B09" w:rsidRPr="00CC76C3" w:rsidRDefault="00371B09" w:rsidP="00371B09">
      <w:pPr>
        <w:rPr>
          <w:b/>
          <w:color w:val="FF0000"/>
        </w:rPr>
      </w:pPr>
      <w:r w:rsidRPr="00CC76C3">
        <w:rPr>
          <w:b/>
          <w:color w:val="FF0000"/>
        </w:rPr>
        <w:t>https://www.iaea.org/newscenter/focus/fukushima/emergency-preparedness</w:t>
      </w:r>
    </w:p>
    <w:p w14:paraId="48E54AC2" w14:textId="77777777" w:rsidR="00371B09" w:rsidRPr="00CC76C3" w:rsidRDefault="00371B09" w:rsidP="00371B09">
      <w:pPr>
        <w:rPr>
          <w:b/>
          <w:color w:val="FF0000"/>
        </w:rPr>
      </w:pPr>
    </w:p>
    <w:p w14:paraId="1F71DB81" w14:textId="77777777" w:rsidR="00371B09" w:rsidRPr="00CC76C3" w:rsidRDefault="00371B09" w:rsidP="00371B09">
      <w:pPr>
        <w:rPr>
          <w:b/>
          <w:color w:val="FF0000"/>
        </w:rPr>
      </w:pPr>
      <w:r w:rsidRPr="00CC76C3">
        <w:rPr>
          <w:b/>
          <w:color w:val="FF0000"/>
        </w:rPr>
        <w:lastRenderedPageBreak/>
        <w:t>IAEA: Annex 3. List of items to be reported to IAEA</w:t>
      </w:r>
    </w:p>
    <w:p w14:paraId="6DFEB455" w14:textId="77777777" w:rsidR="00371B09" w:rsidRPr="00CC76C3" w:rsidRDefault="00371B09" w:rsidP="00371B09">
      <w:pPr>
        <w:rPr>
          <w:b/>
          <w:color w:val="FF0000"/>
        </w:rPr>
      </w:pPr>
      <w:r w:rsidRPr="00CC76C3">
        <w:rPr>
          <w:b/>
          <w:color w:val="FF0000"/>
        </w:rPr>
        <w:t>https://www.iaea.org/OurWork/SV/Invo/annex3/annex3_e.pdf#search=%27nuclear+materials+reference%27</w:t>
      </w:r>
    </w:p>
    <w:p w14:paraId="5F59243A" w14:textId="77777777" w:rsidR="00371B09" w:rsidRPr="00CC76C3" w:rsidRDefault="00371B09" w:rsidP="00371B09">
      <w:pPr>
        <w:rPr>
          <w:b/>
          <w:color w:val="FF0000"/>
        </w:rPr>
      </w:pPr>
    </w:p>
    <w:p w14:paraId="79CFAEF1" w14:textId="77777777" w:rsidR="00371B09" w:rsidRPr="00CC76C3" w:rsidRDefault="00371B09" w:rsidP="00371B09">
      <w:pPr>
        <w:rPr>
          <w:b/>
          <w:color w:val="FF0000"/>
        </w:rPr>
      </w:pPr>
      <w:r w:rsidRPr="00CC76C3">
        <w:rPr>
          <w:b/>
          <w:color w:val="FF0000"/>
        </w:rPr>
        <w:t>IAEA Nuclear Security Series No. 6 Technical Guidance Reference Manual</w:t>
      </w:r>
    </w:p>
    <w:p w14:paraId="2F7746A4" w14:textId="77777777" w:rsidR="00371B09" w:rsidRPr="00CC76C3" w:rsidRDefault="00371B09" w:rsidP="00371B09">
      <w:pPr>
        <w:rPr>
          <w:b/>
          <w:color w:val="FF0000"/>
        </w:rPr>
      </w:pPr>
      <w:r w:rsidRPr="00CC76C3">
        <w:rPr>
          <w:b/>
          <w:color w:val="FF0000"/>
        </w:rPr>
        <w:t>http://www-pub.iaea.org/MTCD/publications/PDF/pub1309_web.pdf#search=%27nuclear+materials+reference%27</w:t>
      </w:r>
    </w:p>
    <w:p w14:paraId="0DDDDB6C" w14:textId="77777777" w:rsidR="00371B09" w:rsidRPr="00CC76C3" w:rsidRDefault="00371B09" w:rsidP="00371B09">
      <w:pPr>
        <w:rPr>
          <w:b/>
          <w:color w:val="FF0000"/>
        </w:rPr>
      </w:pPr>
    </w:p>
    <w:p w14:paraId="1337698C" w14:textId="77777777" w:rsidR="00371B09" w:rsidRPr="00CC76C3" w:rsidRDefault="00371B09" w:rsidP="00371B09">
      <w:pPr>
        <w:rPr>
          <w:b/>
          <w:color w:val="FF0000"/>
        </w:rPr>
      </w:pPr>
      <w:r w:rsidRPr="00CC76C3">
        <w:rPr>
          <w:b/>
          <w:color w:val="FF0000"/>
        </w:rPr>
        <w:t>IAEA Fukushima Report 2015</w:t>
      </w:r>
    </w:p>
    <w:p w14:paraId="4FD8D2E3" w14:textId="77777777" w:rsidR="00371B09" w:rsidRPr="00CC76C3" w:rsidRDefault="00371B09" w:rsidP="00371B09">
      <w:pPr>
        <w:rPr>
          <w:b/>
          <w:color w:val="FF0000"/>
        </w:rPr>
      </w:pPr>
      <w:r w:rsidRPr="00CC76C3">
        <w:rPr>
          <w:b/>
          <w:color w:val="FF0000"/>
        </w:rPr>
        <w:t>http://www-pub.iaea.org/books/IAEABooks/10962/The-Fukushima-Daiichi-Accident</w:t>
      </w:r>
    </w:p>
    <w:p w14:paraId="4C1F1CB1" w14:textId="77777777" w:rsidR="00371B09" w:rsidRPr="00CC76C3" w:rsidRDefault="00371B09" w:rsidP="00371B09">
      <w:pPr>
        <w:rPr>
          <w:b/>
          <w:color w:val="FF0000"/>
        </w:rPr>
      </w:pPr>
    </w:p>
    <w:p w14:paraId="609C7E0D" w14:textId="77777777" w:rsidR="00371B09" w:rsidRPr="00CC76C3" w:rsidRDefault="00371B09" w:rsidP="00371B09">
      <w:pPr>
        <w:rPr>
          <w:b/>
          <w:color w:val="FF0000"/>
        </w:rPr>
      </w:pPr>
      <w:r w:rsidRPr="00CC76C3">
        <w:rPr>
          <w:b/>
          <w:color w:val="FF0000"/>
        </w:rPr>
        <w:t>UNSCEAR The Fukushima-Daiichi nuclear power plant accident</w:t>
      </w:r>
    </w:p>
    <w:p w14:paraId="6E9CAB10" w14:textId="77777777" w:rsidR="00371B09" w:rsidRPr="00CC76C3" w:rsidRDefault="00371B09" w:rsidP="00371B09">
      <w:pPr>
        <w:rPr>
          <w:b/>
          <w:color w:val="FF0000"/>
        </w:rPr>
      </w:pPr>
      <w:r w:rsidRPr="00CC76C3">
        <w:rPr>
          <w:b/>
          <w:color w:val="FF0000"/>
        </w:rPr>
        <w:t>http://www.unscear.org/unscear/en/fukushima.html</w:t>
      </w:r>
    </w:p>
    <w:p w14:paraId="0B5B65B3" w14:textId="77777777" w:rsidR="00371B09" w:rsidRPr="00CC76C3" w:rsidRDefault="00371B09" w:rsidP="00371B09">
      <w:pPr>
        <w:rPr>
          <w:b/>
          <w:color w:val="FF0000"/>
        </w:rPr>
      </w:pPr>
    </w:p>
    <w:p w14:paraId="4C593242" w14:textId="77777777" w:rsidR="00371B09" w:rsidRPr="00CC76C3" w:rsidRDefault="00371B09" w:rsidP="00371B09">
      <w:pPr>
        <w:rPr>
          <w:b/>
          <w:color w:val="FF0000"/>
        </w:rPr>
      </w:pPr>
      <w:r w:rsidRPr="00CC76C3">
        <w:rPr>
          <w:b/>
          <w:color w:val="FF0000"/>
        </w:rPr>
        <w:t>WHO Radiation Emergency</w:t>
      </w:r>
    </w:p>
    <w:p w14:paraId="14E9EA97" w14:textId="77777777" w:rsidR="00371B09" w:rsidRPr="00CC76C3" w:rsidRDefault="00371B09" w:rsidP="00371B09">
      <w:pPr>
        <w:rPr>
          <w:b/>
          <w:color w:val="FF0000"/>
        </w:rPr>
      </w:pPr>
      <w:r w:rsidRPr="00CC76C3">
        <w:rPr>
          <w:b/>
          <w:color w:val="FF0000"/>
        </w:rPr>
        <w:t>http://www.who.int/ionizing_radiation/a_e/en/</w:t>
      </w:r>
    </w:p>
    <w:p w14:paraId="6CD969CF" w14:textId="77777777" w:rsidR="00371B09" w:rsidRPr="00CC76C3" w:rsidRDefault="00371B09" w:rsidP="00371B09">
      <w:pPr>
        <w:rPr>
          <w:b/>
          <w:color w:val="FF0000"/>
        </w:rPr>
      </w:pPr>
    </w:p>
    <w:p w14:paraId="6BBD2AEC" w14:textId="77777777" w:rsidR="00371B09" w:rsidRPr="00CC76C3" w:rsidRDefault="00371B09" w:rsidP="00371B09">
      <w:pPr>
        <w:rPr>
          <w:b/>
          <w:color w:val="FF0000"/>
        </w:rPr>
      </w:pPr>
      <w:r w:rsidRPr="00CC76C3">
        <w:rPr>
          <w:b/>
          <w:color w:val="FF0000"/>
        </w:rPr>
        <w:t>United States Nuclear Regulatory Commission</w:t>
      </w:r>
    </w:p>
    <w:p w14:paraId="5324A255" w14:textId="77777777" w:rsidR="00371B09" w:rsidRPr="00CC76C3" w:rsidRDefault="00371B09" w:rsidP="00371B09">
      <w:pPr>
        <w:rPr>
          <w:b/>
          <w:color w:val="FF0000"/>
        </w:rPr>
      </w:pPr>
      <w:r w:rsidRPr="00CC76C3">
        <w:rPr>
          <w:b/>
          <w:color w:val="FF0000"/>
        </w:rPr>
        <w:t>https://www.nrc.gov/materials/sp-nucmaterials.html</w:t>
      </w:r>
    </w:p>
    <w:p w14:paraId="3F7487CC" w14:textId="77777777" w:rsidR="00371B09" w:rsidRPr="00CC76C3" w:rsidRDefault="00371B09" w:rsidP="00371B09">
      <w:pPr>
        <w:rPr>
          <w:b/>
          <w:color w:val="FF0000"/>
        </w:rPr>
      </w:pPr>
    </w:p>
    <w:p w14:paraId="748A6CAE" w14:textId="77777777" w:rsidR="00371B09" w:rsidRPr="00CC76C3" w:rsidRDefault="00371B09" w:rsidP="00371B09">
      <w:pPr>
        <w:rPr>
          <w:b/>
          <w:color w:val="FF0000"/>
        </w:rPr>
      </w:pPr>
      <w:r w:rsidRPr="00CC76C3">
        <w:rPr>
          <w:b/>
          <w:color w:val="FF0000"/>
        </w:rPr>
        <w:t>The European Commission’s Science and Knowledge Service</w:t>
      </w:r>
    </w:p>
    <w:p w14:paraId="7D784BAA" w14:textId="77777777" w:rsidR="00371B09" w:rsidRPr="00CC76C3" w:rsidRDefault="00371B09" w:rsidP="00371B09">
      <w:pPr>
        <w:rPr>
          <w:b/>
          <w:color w:val="FF0000"/>
        </w:rPr>
      </w:pPr>
      <w:r w:rsidRPr="00CC76C3">
        <w:rPr>
          <w:b/>
          <w:color w:val="FF0000"/>
        </w:rPr>
        <w:t>https://ec.europa.eu/jrc/en/research-topic/reference-materials-nuclear-safeguards-safety-and-security</w:t>
      </w:r>
    </w:p>
    <w:p w14:paraId="0AFBADB9" w14:textId="77777777" w:rsidR="00371B09" w:rsidRPr="00CC76C3" w:rsidRDefault="00371B09" w:rsidP="00371B09">
      <w:pPr>
        <w:rPr>
          <w:b/>
          <w:color w:val="FF0000"/>
        </w:rPr>
      </w:pPr>
    </w:p>
    <w:p w14:paraId="74445A83" w14:textId="77777777" w:rsidR="00371B09" w:rsidRPr="00CC76C3" w:rsidRDefault="00371B09" w:rsidP="00371B09">
      <w:pPr>
        <w:rPr>
          <w:b/>
          <w:color w:val="FF0000"/>
        </w:rPr>
      </w:pPr>
      <w:r w:rsidRPr="00CC76C3">
        <w:rPr>
          <w:b/>
          <w:color w:val="FF0000"/>
        </w:rPr>
        <w:t>IRSN Enhancing Nuclear Safety in France</w:t>
      </w:r>
    </w:p>
    <w:p w14:paraId="7D51384A" w14:textId="77777777" w:rsidR="00371B09" w:rsidRPr="00CC76C3" w:rsidRDefault="00371B09" w:rsidP="00371B09">
      <w:pPr>
        <w:rPr>
          <w:b/>
          <w:color w:val="FF0000"/>
        </w:rPr>
      </w:pPr>
      <w:r w:rsidRPr="00CC76C3">
        <w:rPr>
          <w:b/>
          <w:color w:val="FF0000"/>
        </w:rPr>
        <w:t>http://www.irsn.fr/EN/Fields_activity/emergency_management/Pages/emergency-management.aspx</w:t>
      </w:r>
    </w:p>
    <w:p w14:paraId="2FE973E2" w14:textId="77777777" w:rsidR="00371B09" w:rsidRPr="00CC76C3" w:rsidRDefault="00371B09" w:rsidP="00371B09">
      <w:pPr>
        <w:rPr>
          <w:b/>
          <w:color w:val="FF0000"/>
        </w:rPr>
      </w:pPr>
    </w:p>
    <w:p w14:paraId="2A0F6877" w14:textId="77777777" w:rsidR="00371B09" w:rsidRPr="00CC76C3" w:rsidRDefault="00371B09" w:rsidP="00371B09">
      <w:pPr>
        <w:rPr>
          <w:b/>
          <w:color w:val="FF0000"/>
        </w:rPr>
      </w:pPr>
      <w:r w:rsidRPr="00CC76C3">
        <w:rPr>
          <w:b/>
          <w:color w:val="FF0000"/>
        </w:rPr>
        <w:t>BSF Accident Management Analysis: Consequences for Germany</w:t>
      </w:r>
    </w:p>
    <w:p w14:paraId="2C275C06" w14:textId="77777777" w:rsidR="00371B09" w:rsidRPr="00CC76C3" w:rsidRDefault="00371B09" w:rsidP="00371B09">
      <w:pPr>
        <w:rPr>
          <w:b/>
          <w:color w:val="FF0000"/>
        </w:rPr>
      </w:pPr>
      <w:r w:rsidRPr="00CC76C3">
        <w:rPr>
          <w:b/>
          <w:color w:val="FF0000"/>
        </w:rPr>
        <w:t>http://www.bfs.de/EN/topics/ns/accidents/fukushima/accident-management/accident-management_node.html</w:t>
      </w:r>
    </w:p>
    <w:p w14:paraId="7D020DE5" w14:textId="77777777" w:rsidR="00371B09" w:rsidRPr="00CC76C3" w:rsidRDefault="00371B09" w:rsidP="00371B09">
      <w:pPr>
        <w:rPr>
          <w:b/>
          <w:color w:val="FF0000"/>
        </w:rPr>
      </w:pPr>
    </w:p>
    <w:p w14:paraId="52DC017A" w14:textId="77777777" w:rsidR="00371B09" w:rsidRPr="00CC76C3" w:rsidRDefault="00371B09" w:rsidP="00371B09">
      <w:pPr>
        <w:rPr>
          <w:b/>
          <w:color w:val="FF0000"/>
        </w:rPr>
      </w:pPr>
      <w:r w:rsidRPr="00CC76C3">
        <w:rPr>
          <w:b/>
          <w:color w:val="FF0000"/>
        </w:rPr>
        <w:t>UK Radiation Protection Services</w:t>
      </w:r>
    </w:p>
    <w:p w14:paraId="5D3185C0" w14:textId="77777777" w:rsidR="00371B09" w:rsidRPr="00CC76C3" w:rsidRDefault="00371B09" w:rsidP="00371B09">
      <w:pPr>
        <w:rPr>
          <w:b/>
          <w:color w:val="FF0000"/>
        </w:rPr>
      </w:pPr>
      <w:r w:rsidRPr="00CC76C3">
        <w:rPr>
          <w:b/>
          <w:color w:val="FF0000"/>
        </w:rPr>
        <w:t>https://www.phe-protectionservices.org.uk</w:t>
      </w:r>
    </w:p>
    <w:p w14:paraId="4FE50E2F" w14:textId="77777777" w:rsidR="00371B09" w:rsidRPr="00CC76C3" w:rsidRDefault="00371B09" w:rsidP="00371B09">
      <w:pPr>
        <w:rPr>
          <w:b/>
          <w:color w:val="FF0000"/>
        </w:rPr>
      </w:pPr>
    </w:p>
    <w:p w14:paraId="215E0F72" w14:textId="77777777" w:rsidR="00371B09" w:rsidRPr="00CC76C3" w:rsidRDefault="00371B09" w:rsidP="00371B09">
      <w:pPr>
        <w:rPr>
          <w:b/>
          <w:color w:val="FF0000"/>
        </w:rPr>
      </w:pPr>
      <w:r w:rsidRPr="00CC76C3">
        <w:rPr>
          <w:b/>
          <w:color w:val="FF0000"/>
        </w:rPr>
        <w:lastRenderedPageBreak/>
        <w:t>UK PHE CRCR Radiation Emergency Response and Arrangements</w:t>
      </w:r>
    </w:p>
    <w:p w14:paraId="3083513F" w14:textId="77777777" w:rsidR="00371B09" w:rsidRPr="00CC76C3" w:rsidRDefault="00371B09" w:rsidP="00371B09">
      <w:pPr>
        <w:rPr>
          <w:b/>
          <w:color w:val="FF0000"/>
        </w:rPr>
      </w:pPr>
      <w:r w:rsidRPr="00CC76C3">
        <w:rPr>
          <w:b/>
          <w:color w:val="FF0000"/>
        </w:rPr>
        <w:t>https://www.gov.uk/government/publications/radiation-emergency-response-arrangements-public-health-readiness/phe-crce-radiation-emergency-response-arrangem</w:t>
      </w:r>
    </w:p>
    <w:p w14:paraId="38D0A6A5" w14:textId="77777777" w:rsidR="00371B09" w:rsidRPr="00CC76C3" w:rsidRDefault="00371B09" w:rsidP="00371B09">
      <w:pPr>
        <w:rPr>
          <w:b/>
          <w:color w:val="FF0000"/>
        </w:rPr>
      </w:pPr>
    </w:p>
    <w:p w14:paraId="3795C9BB" w14:textId="77777777" w:rsidR="00371B09" w:rsidRPr="00CC76C3" w:rsidRDefault="00371B09" w:rsidP="00371B09">
      <w:pPr>
        <w:rPr>
          <w:b/>
          <w:color w:val="FF0000"/>
        </w:rPr>
      </w:pPr>
      <w:r w:rsidRPr="00CC76C3">
        <w:rPr>
          <w:b/>
          <w:color w:val="FF0000"/>
        </w:rPr>
        <w:t>SCK-CEN Academy Preparedness and Response for Nuclear and Radiological Emergency</w:t>
      </w:r>
    </w:p>
    <w:p w14:paraId="0868D0D8" w14:textId="77777777" w:rsidR="00371B09" w:rsidRPr="00CC76C3" w:rsidRDefault="00371B09" w:rsidP="00371B09">
      <w:pPr>
        <w:rPr>
          <w:b/>
          <w:color w:val="FF0000"/>
        </w:rPr>
      </w:pPr>
      <w:r w:rsidRPr="00CC76C3">
        <w:rPr>
          <w:b/>
          <w:color w:val="FF0000"/>
        </w:rPr>
        <w:t>http://academy.sckcen.be/en/Customised_trainings/Calendar/Preparedness-and-response-for-nuclear-and-radiological-emergencies-20150316-20150320-170ce5c0e83fe411</w:t>
      </w:r>
    </w:p>
    <w:p w14:paraId="3820B401" w14:textId="77777777" w:rsidR="00371B09" w:rsidRPr="00CC76C3" w:rsidRDefault="00371B09" w:rsidP="00371B09">
      <w:pPr>
        <w:rPr>
          <w:b/>
          <w:color w:val="FF0000"/>
        </w:rPr>
      </w:pPr>
    </w:p>
    <w:p w14:paraId="59A6536B" w14:textId="77777777" w:rsidR="00371B09" w:rsidRPr="00CC76C3" w:rsidRDefault="00371B09" w:rsidP="00371B09">
      <w:pPr>
        <w:rPr>
          <w:b/>
          <w:color w:val="FF0000"/>
        </w:rPr>
      </w:pPr>
      <w:r w:rsidRPr="00CC76C3">
        <w:rPr>
          <w:b/>
          <w:color w:val="FF0000"/>
        </w:rPr>
        <w:t>Swedish Radiation Safety Authority</w:t>
      </w:r>
    </w:p>
    <w:p w14:paraId="5CDB0D88" w14:textId="77777777" w:rsidR="00371B09" w:rsidRPr="00CC76C3" w:rsidRDefault="00371B09" w:rsidP="00371B09">
      <w:pPr>
        <w:rPr>
          <w:b/>
          <w:color w:val="FF0000"/>
        </w:rPr>
      </w:pPr>
      <w:r w:rsidRPr="00CC76C3">
        <w:rPr>
          <w:b/>
          <w:color w:val="FF0000"/>
        </w:rPr>
        <w:t>http://www.stralsakerhetsmyndigheten.se/In-English/Enactments/Regulations/</w:t>
      </w:r>
    </w:p>
    <w:p w14:paraId="5AA2F631" w14:textId="77777777" w:rsidR="00371B09" w:rsidRPr="00CC76C3" w:rsidRDefault="00371B09" w:rsidP="00371B09">
      <w:pPr>
        <w:rPr>
          <w:b/>
          <w:color w:val="FF0000"/>
        </w:rPr>
      </w:pPr>
    </w:p>
    <w:p w14:paraId="38CBA332" w14:textId="77777777" w:rsidR="00371B09" w:rsidRPr="00CC76C3" w:rsidRDefault="00371B09" w:rsidP="00371B09">
      <w:pPr>
        <w:rPr>
          <w:b/>
          <w:color w:val="FF0000"/>
        </w:rPr>
      </w:pPr>
      <w:r w:rsidRPr="00CC76C3">
        <w:rPr>
          <w:b/>
          <w:color w:val="FF0000"/>
        </w:rPr>
        <w:t>Nuclear Safety Institute of the Russian Academy of Sciences</w:t>
      </w:r>
    </w:p>
    <w:p w14:paraId="7740967E" w14:textId="77777777" w:rsidR="00371B09" w:rsidRPr="00CC76C3" w:rsidRDefault="00371B09" w:rsidP="00371B09">
      <w:pPr>
        <w:rPr>
          <w:b/>
          <w:color w:val="FF0000"/>
        </w:rPr>
      </w:pPr>
      <w:r w:rsidRPr="00CC76C3">
        <w:rPr>
          <w:b/>
          <w:color w:val="FF0000"/>
        </w:rPr>
        <w:t>http://en.ibrae.ac.ru/contents/21/</w:t>
      </w:r>
    </w:p>
    <w:p w14:paraId="03DA5E1B" w14:textId="77777777" w:rsidR="00371B09" w:rsidRPr="00CC76C3" w:rsidRDefault="00371B09" w:rsidP="00371B09">
      <w:pPr>
        <w:rPr>
          <w:b/>
          <w:color w:val="FF0000"/>
        </w:rPr>
      </w:pPr>
    </w:p>
    <w:p w14:paraId="6B58EEDF" w14:textId="77777777" w:rsidR="00371B09" w:rsidRPr="00CC76C3" w:rsidRDefault="00371B09" w:rsidP="00371B09">
      <w:pPr>
        <w:rPr>
          <w:b/>
          <w:color w:val="FF0000"/>
        </w:rPr>
      </w:pPr>
      <w:r w:rsidRPr="00CC76C3">
        <w:rPr>
          <w:b/>
          <w:color w:val="FF0000"/>
        </w:rPr>
        <w:t>Nikiforov Russian Center of Emergency and Radiation Medicine</w:t>
      </w:r>
    </w:p>
    <w:p w14:paraId="4DD0E2A3" w14:textId="77777777" w:rsidR="00371B09" w:rsidRPr="00CC76C3" w:rsidRDefault="00371B09" w:rsidP="00371B09">
      <w:pPr>
        <w:rPr>
          <w:b/>
          <w:color w:val="FF0000"/>
        </w:rPr>
      </w:pPr>
      <w:r w:rsidRPr="00CC76C3">
        <w:rPr>
          <w:b/>
          <w:color w:val="FF0000"/>
        </w:rPr>
        <w:t>http://www.mci-forum.com/nikiforov-russian-center-of-emergency-and-radiation-medicine-emercom-of-russia-past-present-future/</w:t>
      </w:r>
    </w:p>
    <w:p w14:paraId="61936A58" w14:textId="77777777" w:rsidR="00371B09" w:rsidRPr="00CC76C3" w:rsidRDefault="00371B09" w:rsidP="00371B09">
      <w:pPr>
        <w:rPr>
          <w:b/>
          <w:color w:val="FF0000"/>
        </w:rPr>
      </w:pPr>
    </w:p>
    <w:p w14:paraId="6F6397B8" w14:textId="77777777" w:rsidR="00371B09" w:rsidRPr="00CC76C3" w:rsidRDefault="00371B09" w:rsidP="00371B09">
      <w:pPr>
        <w:rPr>
          <w:b/>
          <w:color w:val="FF0000"/>
        </w:rPr>
      </w:pPr>
      <w:r w:rsidRPr="00CC76C3">
        <w:rPr>
          <w:b/>
          <w:color w:val="FF0000"/>
        </w:rPr>
        <w:t>Korea Institute of Radiological &amp; Medical Sciences</w:t>
      </w:r>
    </w:p>
    <w:p w14:paraId="5AC0614F" w14:textId="77777777" w:rsidR="00371B09" w:rsidRPr="00CC76C3" w:rsidRDefault="00371B09" w:rsidP="00371B09">
      <w:pPr>
        <w:rPr>
          <w:b/>
          <w:color w:val="FF0000"/>
        </w:rPr>
      </w:pPr>
      <w:r w:rsidRPr="00CC76C3">
        <w:rPr>
          <w:b/>
          <w:color w:val="FF0000"/>
        </w:rPr>
        <w:t>http://www.kirams.re.kr/eng/nremc/preparedness02.jsp</w:t>
      </w:r>
    </w:p>
    <w:p w14:paraId="2161EA18" w14:textId="77777777" w:rsidR="00371B09" w:rsidRPr="00CC76C3" w:rsidRDefault="00371B09" w:rsidP="00371B09">
      <w:pPr>
        <w:rPr>
          <w:b/>
          <w:color w:val="FF0000"/>
        </w:rPr>
      </w:pPr>
    </w:p>
    <w:p w14:paraId="445E5EC1" w14:textId="77777777" w:rsidR="00371B09" w:rsidRPr="00F726F9" w:rsidRDefault="00371B09" w:rsidP="00371B09">
      <w:pPr>
        <w:rPr>
          <w:b/>
          <w:color w:val="FF0000"/>
          <w:lang w:val="fr-CH"/>
        </w:rPr>
      </w:pPr>
      <w:r w:rsidRPr="00F726F9">
        <w:rPr>
          <w:b/>
          <w:color w:val="FF0000"/>
          <w:lang w:val="fr-CH"/>
        </w:rPr>
        <w:t>RPA Radiation Protection</w:t>
      </w:r>
    </w:p>
    <w:p w14:paraId="7365E941" w14:textId="77777777" w:rsidR="00371B09" w:rsidRPr="00F726F9" w:rsidRDefault="00371B09" w:rsidP="00371B09">
      <w:pPr>
        <w:rPr>
          <w:b/>
          <w:color w:val="FF0000"/>
          <w:lang w:val="fr-CH"/>
        </w:rPr>
      </w:pPr>
      <w:r w:rsidRPr="00F726F9">
        <w:rPr>
          <w:b/>
          <w:color w:val="FF0000"/>
          <w:lang w:val="fr-CH"/>
        </w:rPr>
        <w:t>https://www.epa.gov/radiation/radiological-emergency-response</w:t>
      </w:r>
    </w:p>
    <w:p w14:paraId="27B245F8" w14:textId="77777777" w:rsidR="00371B09" w:rsidRPr="00F726F9" w:rsidRDefault="00371B09" w:rsidP="00371B09">
      <w:pPr>
        <w:rPr>
          <w:b/>
          <w:color w:val="FF0000"/>
          <w:lang w:val="fr-CH"/>
        </w:rPr>
      </w:pPr>
    </w:p>
    <w:p w14:paraId="7D330F89" w14:textId="77777777" w:rsidR="00371B09" w:rsidRPr="00CC76C3" w:rsidRDefault="00371B09" w:rsidP="00371B09">
      <w:pPr>
        <w:rPr>
          <w:b/>
          <w:color w:val="FF0000"/>
        </w:rPr>
      </w:pPr>
      <w:r w:rsidRPr="00CC76C3">
        <w:rPr>
          <w:b/>
          <w:color w:val="FF0000"/>
        </w:rPr>
        <w:t>Emergency Preparedness and Disaster Relief of PAHO</w:t>
      </w:r>
    </w:p>
    <w:p w14:paraId="2AE7EFCF" w14:textId="77777777" w:rsidR="00371B09" w:rsidRPr="00CC76C3" w:rsidRDefault="00371B09" w:rsidP="00371B09">
      <w:pPr>
        <w:rPr>
          <w:b/>
          <w:color w:val="FF0000"/>
        </w:rPr>
      </w:pPr>
      <w:r w:rsidRPr="00CC76C3">
        <w:rPr>
          <w:b/>
          <w:color w:val="FF0000"/>
        </w:rPr>
        <w:t>http://www.paho.org/disasters/newsletter/index.php?option=com_content&amp;view=article&amp;id=454&amp;Itemid=86&amp;lang=en</w:t>
      </w:r>
    </w:p>
    <w:p w14:paraId="1EE7A78D" w14:textId="77777777" w:rsidR="00371B09" w:rsidRPr="00CC76C3" w:rsidRDefault="00371B09" w:rsidP="00371B09">
      <w:pPr>
        <w:rPr>
          <w:b/>
          <w:color w:val="FF0000"/>
        </w:rPr>
      </w:pPr>
    </w:p>
    <w:p w14:paraId="38138D69" w14:textId="77777777" w:rsidR="00371B09" w:rsidRPr="00CC76C3" w:rsidRDefault="00371B09" w:rsidP="00371B09">
      <w:pPr>
        <w:rPr>
          <w:b/>
          <w:color w:val="FF0000"/>
        </w:rPr>
      </w:pPr>
      <w:r w:rsidRPr="00CC76C3">
        <w:rPr>
          <w:b/>
          <w:color w:val="FF0000"/>
        </w:rPr>
        <w:t>REMC in Japan</w:t>
      </w:r>
    </w:p>
    <w:p w14:paraId="6124D008" w14:textId="77777777" w:rsidR="00371B09" w:rsidRPr="00CC76C3" w:rsidRDefault="00371B09" w:rsidP="00371B09">
      <w:pPr>
        <w:rPr>
          <w:b/>
          <w:color w:val="FF0000"/>
        </w:rPr>
      </w:pPr>
      <w:r w:rsidRPr="00CC76C3">
        <w:rPr>
          <w:b/>
          <w:color w:val="FF0000"/>
        </w:rPr>
        <w:t>http://www.nirs.qst.go.jp/ENG/core/rem/remceng/index.html</w:t>
      </w:r>
    </w:p>
    <w:p w14:paraId="5C4DA968" w14:textId="77777777" w:rsidR="00371B09" w:rsidRPr="00CC76C3" w:rsidRDefault="00371B09" w:rsidP="00371B09">
      <w:pPr>
        <w:rPr>
          <w:b/>
          <w:color w:val="FF0000"/>
        </w:rPr>
      </w:pPr>
    </w:p>
    <w:p w14:paraId="2A68E734" w14:textId="77777777" w:rsidR="00371B09" w:rsidRPr="00CC76C3" w:rsidRDefault="00371B09" w:rsidP="00371B09">
      <w:pPr>
        <w:rPr>
          <w:b/>
          <w:color w:val="FF0000"/>
        </w:rPr>
      </w:pPr>
      <w:r w:rsidRPr="00CC76C3">
        <w:rPr>
          <w:b/>
          <w:color w:val="FF0000"/>
        </w:rPr>
        <w:t>Nuclear Safety Research Association in Japan</w:t>
      </w:r>
    </w:p>
    <w:p w14:paraId="157A895D" w14:textId="77777777" w:rsidR="00371B09" w:rsidRPr="00CC76C3" w:rsidRDefault="00371B09" w:rsidP="00371B09">
      <w:pPr>
        <w:rPr>
          <w:b/>
          <w:color w:val="FF0000"/>
        </w:rPr>
      </w:pPr>
      <w:r w:rsidRPr="00CC76C3">
        <w:rPr>
          <w:b/>
          <w:color w:val="FF0000"/>
        </w:rPr>
        <w:t>http://www.nsra.or.jp/index-e.html</w:t>
      </w:r>
    </w:p>
    <w:p w14:paraId="18F4759A" w14:textId="77777777" w:rsidR="00371B09" w:rsidRPr="00CC76C3" w:rsidRDefault="00371B09" w:rsidP="00371B09">
      <w:pPr>
        <w:rPr>
          <w:b/>
          <w:color w:val="FF0000"/>
        </w:rPr>
      </w:pPr>
    </w:p>
    <w:p w14:paraId="75504CFD" w14:textId="77777777" w:rsidR="00371B09" w:rsidRPr="00CC76C3" w:rsidRDefault="00371B09" w:rsidP="00371B09">
      <w:pPr>
        <w:rPr>
          <w:b/>
          <w:color w:val="FF0000"/>
        </w:rPr>
      </w:pPr>
      <w:r w:rsidRPr="00CC76C3">
        <w:rPr>
          <w:b/>
          <w:color w:val="FF0000"/>
        </w:rPr>
        <w:t>Ojino M, Ishii M. Reconstruction of the Radiation Emergency Medical System from the acute to the subacute phase after the Fukushima Nuclear Power Plant crisis. JMAJ 57(1): 40-48, 2014</w:t>
      </w:r>
    </w:p>
    <w:p w14:paraId="24A68105" w14:textId="77777777" w:rsidR="00371B09" w:rsidRPr="00CC76C3" w:rsidRDefault="00371B09" w:rsidP="00371B09">
      <w:pPr>
        <w:rPr>
          <w:b/>
          <w:color w:val="FF0000"/>
        </w:rPr>
      </w:pPr>
      <w:r w:rsidRPr="00CC76C3">
        <w:rPr>
          <w:b/>
          <w:color w:val="FF0000"/>
        </w:rPr>
        <w:t>https://www.ncbi.nlm.nih.gov/pmc/articles/PMC4130083/pdf/jmaj-57-40.pdf</w:t>
      </w:r>
    </w:p>
    <w:p w14:paraId="22B06114" w14:textId="77777777" w:rsidR="00371B09" w:rsidRPr="00CC76C3" w:rsidRDefault="00371B09" w:rsidP="00371B09">
      <w:pPr>
        <w:rPr>
          <w:b/>
          <w:color w:val="FF0000"/>
        </w:rPr>
      </w:pPr>
    </w:p>
    <w:p w14:paraId="638901F2" w14:textId="77777777" w:rsidR="00371B09" w:rsidRPr="00CC76C3" w:rsidRDefault="00371B09" w:rsidP="00371B09">
      <w:pPr>
        <w:rPr>
          <w:b/>
          <w:color w:val="FF0000"/>
        </w:rPr>
      </w:pPr>
      <w:r w:rsidRPr="00CC76C3">
        <w:rPr>
          <w:b/>
          <w:color w:val="FF0000"/>
        </w:rPr>
        <w:t>Shimura T, Yamaguchi I, Terada H, Svendsen ER, Kunugida N. Public health activities for mitigation of radiation exposures and risk communication challenges after the Fukushima nuclear accident. J Rad Res 56(3): 422-429, 2015</w:t>
      </w:r>
    </w:p>
    <w:p w14:paraId="1A1C9E46" w14:textId="77777777" w:rsidR="00371B09" w:rsidRDefault="00371B09" w:rsidP="00371B09">
      <w:pPr>
        <w:rPr>
          <w:b/>
          <w:color w:val="FF0000"/>
        </w:rPr>
      </w:pPr>
      <w:hyperlink r:id="rId9" w:history="1">
        <w:r w:rsidRPr="00055A5D">
          <w:rPr>
            <w:rStyle w:val="a3"/>
            <w:b/>
          </w:rPr>
          <w:t>https://www.ncbi.nlm.ni</w:t>
        </w:r>
        <w:r w:rsidRPr="00055A5D">
          <w:rPr>
            <w:rStyle w:val="a3"/>
            <w:b/>
          </w:rPr>
          <w:t>h</w:t>
        </w:r>
        <w:r w:rsidRPr="00055A5D">
          <w:rPr>
            <w:rStyle w:val="a3"/>
            <w:b/>
          </w:rPr>
          <w:t>.gov/pmc</w:t>
        </w:r>
        <w:r w:rsidRPr="00055A5D">
          <w:rPr>
            <w:rStyle w:val="a3"/>
            <w:b/>
          </w:rPr>
          <w:t>/</w:t>
        </w:r>
        <w:r w:rsidRPr="00055A5D">
          <w:rPr>
            <w:rStyle w:val="a3"/>
            <w:b/>
          </w:rPr>
          <w:t>articles/PMC4426935/pdf/rrv013.pdf</w:t>
        </w:r>
      </w:hyperlink>
    </w:p>
    <w:p w14:paraId="56F0927C" w14:textId="77777777" w:rsidR="00371B09" w:rsidRPr="00CC76C3" w:rsidRDefault="00371B09" w:rsidP="00371B09">
      <w:pPr>
        <w:rPr>
          <w:b/>
          <w:color w:val="FF0000"/>
        </w:rPr>
      </w:pPr>
    </w:p>
    <w:p w14:paraId="66307B95" w14:textId="77777777" w:rsidR="00371B09" w:rsidRPr="00CC76C3" w:rsidRDefault="00371B09" w:rsidP="00371B09">
      <w:pPr>
        <w:rPr>
          <w:b/>
          <w:color w:val="FF0000"/>
        </w:rPr>
      </w:pPr>
    </w:p>
    <w:p w14:paraId="6D01E97B" w14:textId="77777777" w:rsidR="00371B09" w:rsidRPr="00CC76C3" w:rsidRDefault="00371B09" w:rsidP="00371B09">
      <w:pPr>
        <w:rPr>
          <w:b/>
          <w:color w:val="FF0000"/>
        </w:rPr>
      </w:pPr>
      <w:r w:rsidRPr="00CC76C3">
        <w:rPr>
          <w:b/>
          <w:color w:val="FF0000"/>
        </w:rPr>
        <w:t>Ohtsuru A, Tanigawa K, Kumagai A, Niwa O, Takamura N, Midorikawa S, Nollet K, Yamashita S, Ohto H, Chhem RK, Clarke M: Nuclear disasters and health: lessons learned, challenges, and proposals. Lancet 386(9992): 489-497, 2015</w:t>
      </w:r>
    </w:p>
    <w:p w14:paraId="7D66F22A" w14:textId="77777777" w:rsidR="00371B09" w:rsidRPr="00CC76C3" w:rsidRDefault="00371B09" w:rsidP="00371B09">
      <w:pPr>
        <w:rPr>
          <w:b/>
          <w:color w:val="FF0000"/>
        </w:rPr>
      </w:pPr>
      <w:r w:rsidRPr="00CC76C3">
        <w:rPr>
          <w:b/>
          <w:color w:val="FF0000"/>
        </w:rPr>
        <w:t>http://www.sciencedirect.com/science/article/pii/S0140673615609941</w:t>
      </w:r>
    </w:p>
    <w:p w14:paraId="71653768" w14:textId="77777777" w:rsidR="00371B09" w:rsidRPr="00CC76C3" w:rsidRDefault="00371B09" w:rsidP="00371B09">
      <w:pPr>
        <w:rPr>
          <w:b/>
          <w:color w:val="FF0000"/>
        </w:rPr>
      </w:pPr>
    </w:p>
    <w:p w14:paraId="530B7E40" w14:textId="77777777" w:rsidR="00371B09" w:rsidRPr="00CC76C3" w:rsidRDefault="00371B09" w:rsidP="00371B09">
      <w:pPr>
        <w:rPr>
          <w:b/>
          <w:color w:val="FF0000"/>
        </w:rPr>
      </w:pPr>
      <w:r w:rsidRPr="00CC76C3">
        <w:rPr>
          <w:b/>
          <w:color w:val="FF0000"/>
        </w:rPr>
        <w:t>Hasegawa A, Tanigawa K, Ohtsuru A, Yabe H, Maeda M, Shigemura J, Ohira T, Tominaga T, Akashi M, Hirohashi N, Ishikawa T, Kamiya K, Shibuya K, Yamashita S, Chhem RK: Health effects of radiation and other health problems in the aftermath of nuclear accidents, with an emphasis on Fukushima. Lancet 386(9992): 479-488, 2015</w:t>
      </w:r>
    </w:p>
    <w:p w14:paraId="7AF7459F" w14:textId="77777777" w:rsidR="00371B09" w:rsidRPr="00CC76C3" w:rsidRDefault="00371B09" w:rsidP="00371B09">
      <w:pPr>
        <w:rPr>
          <w:b/>
          <w:color w:val="FF0000"/>
        </w:rPr>
      </w:pPr>
      <w:r w:rsidRPr="00CC76C3">
        <w:rPr>
          <w:b/>
          <w:color w:val="FF0000"/>
        </w:rPr>
        <w:t>http://www.sciencedirect.com/science/article/pii/S0140673615611060</w:t>
      </w:r>
    </w:p>
    <w:p w14:paraId="7B36E5EF" w14:textId="77777777" w:rsidR="00371B09" w:rsidRPr="00CC76C3" w:rsidRDefault="00371B09" w:rsidP="00371B09">
      <w:pPr>
        <w:rPr>
          <w:b/>
          <w:color w:val="FF0000"/>
        </w:rPr>
      </w:pPr>
    </w:p>
    <w:p w14:paraId="042007BA" w14:textId="77777777" w:rsidR="00371B09" w:rsidRPr="00CC76C3" w:rsidRDefault="00371B09" w:rsidP="00371B09">
      <w:pPr>
        <w:rPr>
          <w:b/>
          <w:color w:val="FF0000"/>
        </w:rPr>
      </w:pPr>
      <w:r w:rsidRPr="00CC76C3">
        <w:rPr>
          <w:b/>
          <w:color w:val="FF0000"/>
        </w:rPr>
        <w:t>Nyaku MK, Wolkin AF, McFadden J, Murti M, Schnall A, Bies S, Stanbury M, Beggs J, Bayleyegn TM. Assessing radiation emergency preparedness planning by using community assessment for public health emergency response. Prehosp Disaster Med. 29(3): 262-269, 2014</w:t>
      </w:r>
    </w:p>
    <w:p w14:paraId="5BD50E76" w14:textId="77777777" w:rsidR="00371B09" w:rsidRPr="00CC76C3" w:rsidRDefault="00371B09" w:rsidP="00371B09">
      <w:pPr>
        <w:rPr>
          <w:b/>
          <w:color w:val="FF0000"/>
        </w:rPr>
      </w:pPr>
      <w:r w:rsidRPr="00CC76C3">
        <w:rPr>
          <w:b/>
          <w:color w:val="FF0000"/>
        </w:rPr>
        <w:t>https://www.ncbi.nlm.nih.gov/pubmed/24906059</w:t>
      </w:r>
    </w:p>
    <w:p w14:paraId="17989EEF" w14:textId="77777777" w:rsidR="00371B09" w:rsidRPr="00CC76C3" w:rsidRDefault="00371B09" w:rsidP="00371B09">
      <w:pPr>
        <w:rPr>
          <w:b/>
          <w:color w:val="FF0000"/>
        </w:rPr>
      </w:pPr>
    </w:p>
    <w:p w14:paraId="5515F709" w14:textId="77777777" w:rsidR="00371B09" w:rsidRPr="00CC76C3" w:rsidRDefault="00371B09" w:rsidP="00371B09">
      <w:pPr>
        <w:rPr>
          <w:b/>
          <w:color w:val="FF0000"/>
        </w:rPr>
      </w:pPr>
      <w:r w:rsidRPr="00CC76C3">
        <w:rPr>
          <w:b/>
          <w:color w:val="FF0000"/>
        </w:rPr>
        <w:t xml:space="preserve">Nuclear and Radiation Studies Board. Lessons learned from the Fukushima nuclear accident for improving safety of U.S. nuclear plants. National Academies Press (US), Washington DC, 2014, Oct 29. </w:t>
      </w:r>
    </w:p>
    <w:p w14:paraId="46B307A9" w14:textId="77777777" w:rsidR="00371B09" w:rsidRPr="00CC76C3" w:rsidRDefault="00371B09" w:rsidP="00371B09">
      <w:pPr>
        <w:rPr>
          <w:b/>
          <w:color w:val="FF0000"/>
        </w:rPr>
      </w:pPr>
      <w:r w:rsidRPr="00CC76C3">
        <w:rPr>
          <w:b/>
          <w:color w:val="FF0000"/>
        </w:rPr>
        <w:t>https://www.ncbi.nlm.nih.gov/books/NBK253939/</w:t>
      </w:r>
    </w:p>
    <w:p w14:paraId="5D39ADBE" w14:textId="77777777" w:rsidR="00371B09" w:rsidRPr="00CC76C3" w:rsidRDefault="00371B09" w:rsidP="00371B09">
      <w:pPr>
        <w:rPr>
          <w:b/>
          <w:color w:val="FF0000"/>
        </w:rPr>
      </w:pPr>
    </w:p>
    <w:p w14:paraId="08CB3994" w14:textId="77777777" w:rsidR="00371B09" w:rsidRPr="00CC76C3" w:rsidRDefault="00371B09" w:rsidP="00371B09">
      <w:pPr>
        <w:rPr>
          <w:b/>
          <w:color w:val="FF0000"/>
        </w:rPr>
      </w:pPr>
      <w:r w:rsidRPr="00CC76C3">
        <w:rPr>
          <w:b/>
          <w:color w:val="FF0000"/>
        </w:rPr>
        <w:t>Lecomte J-F. Understanding existing exposure situations. ICRP 2015 Proceedings 57-63,</w:t>
      </w:r>
    </w:p>
    <w:p w14:paraId="776C974A" w14:textId="77777777" w:rsidR="00371B09" w:rsidRPr="00CC76C3" w:rsidRDefault="00371B09" w:rsidP="00371B09">
      <w:pPr>
        <w:rPr>
          <w:b/>
          <w:color w:val="FF0000"/>
        </w:rPr>
      </w:pPr>
      <w:r w:rsidRPr="00CC76C3">
        <w:rPr>
          <w:b/>
          <w:color w:val="FF0000"/>
        </w:rPr>
        <w:t>http://journals.sagepub.com/doi/pdf/10.1177/0146645315624326</w:t>
      </w:r>
    </w:p>
    <w:p w14:paraId="1BF4D863" w14:textId="77777777" w:rsidR="00371B09" w:rsidRPr="00CC76C3" w:rsidRDefault="00371B09" w:rsidP="00371B09">
      <w:pPr>
        <w:rPr>
          <w:b/>
          <w:color w:val="FF0000"/>
        </w:rPr>
      </w:pPr>
    </w:p>
    <w:p w14:paraId="1B1E1406" w14:textId="77777777" w:rsidR="00371B09" w:rsidRPr="00CC76C3" w:rsidRDefault="00371B09" w:rsidP="00371B09">
      <w:pPr>
        <w:rPr>
          <w:b/>
          <w:color w:val="FF0000"/>
        </w:rPr>
      </w:pPr>
      <w:r w:rsidRPr="00CC76C3">
        <w:rPr>
          <w:b/>
          <w:color w:val="FF0000"/>
        </w:rPr>
        <w:t>Homma T, Takahara S, Kimura M, Kinase S. Radiation protection issues on preparedness and response for a severe nuclear accident: experiences of the Fukushima accident. ICRP 2013 Proceedings 347-356</w:t>
      </w:r>
    </w:p>
    <w:p w14:paraId="6BF2FDA6" w14:textId="77777777" w:rsidR="00371B09" w:rsidRPr="00CC76C3" w:rsidRDefault="00371B09" w:rsidP="00371B09">
      <w:pPr>
        <w:rPr>
          <w:b/>
          <w:color w:val="FF0000"/>
        </w:rPr>
      </w:pPr>
      <w:r w:rsidRPr="00CC76C3">
        <w:rPr>
          <w:b/>
          <w:color w:val="FF0000"/>
        </w:rPr>
        <w:t>http://journals.sagepub.com/doi/pdf/10.1177/0146645314543750</w:t>
      </w:r>
    </w:p>
    <w:p w14:paraId="63F9B07B" w14:textId="77777777" w:rsidR="00371B09" w:rsidRPr="00CC76C3" w:rsidRDefault="00371B09" w:rsidP="00371B09">
      <w:pPr>
        <w:rPr>
          <w:b/>
          <w:color w:val="FF0000"/>
        </w:rPr>
      </w:pPr>
    </w:p>
    <w:p w14:paraId="7CF43D2A" w14:textId="77777777" w:rsidR="00371B09" w:rsidRPr="00CC76C3" w:rsidRDefault="00371B09" w:rsidP="00371B09">
      <w:pPr>
        <w:rPr>
          <w:b/>
          <w:color w:val="FF0000"/>
        </w:rPr>
      </w:pPr>
      <w:r w:rsidRPr="00CC76C3">
        <w:rPr>
          <w:b/>
          <w:color w:val="FF0000"/>
        </w:rPr>
        <w:t>Gonzalez AJ, Akashi M, Boice JD Jr, Chino M, Homma T, Ishigure N, Kai M, Kusumi S, Lee J-K, Menzel H-G, Niwa O, Sakai M, Weiss W, Yamashita S, Yonekura Y. Radiological protection issues arising during and after the Fukushima nuclear power reactor accident. J. Radiol Prot 33: 497-571, 2014</w:t>
      </w:r>
    </w:p>
    <w:p w14:paraId="40DB7655" w14:textId="77777777" w:rsidR="00371B09" w:rsidRPr="00CC76C3" w:rsidRDefault="00371B09" w:rsidP="00371B09">
      <w:pPr>
        <w:rPr>
          <w:b/>
          <w:color w:val="FF0000"/>
        </w:rPr>
      </w:pPr>
      <w:r w:rsidRPr="00CC76C3">
        <w:rPr>
          <w:b/>
          <w:color w:val="FF0000"/>
        </w:rPr>
        <w:t>http://iopscience.iop.org/article/10.1088/0952-4746/33/3/497/pdf</w:t>
      </w:r>
    </w:p>
    <w:p w14:paraId="3E57814E" w14:textId="77777777" w:rsidR="00371B09" w:rsidRPr="00CC76C3" w:rsidRDefault="00371B09" w:rsidP="00371B09">
      <w:pPr>
        <w:rPr>
          <w:b/>
          <w:color w:val="FF0000"/>
        </w:rPr>
      </w:pPr>
    </w:p>
    <w:p w14:paraId="3E0872CA" w14:textId="77777777" w:rsidR="00371B09" w:rsidRPr="00F726F9" w:rsidRDefault="00371B09" w:rsidP="00371B09">
      <w:pPr>
        <w:rPr>
          <w:b/>
          <w:color w:val="FF0000"/>
          <w:lang w:val="fr-CH"/>
        </w:rPr>
      </w:pPr>
      <w:r w:rsidRPr="00CC76C3">
        <w:rPr>
          <w:b/>
          <w:color w:val="FF0000"/>
        </w:rPr>
        <w:t xml:space="preserve">Tanigawa K, Hosoi Y, Hirohashi N, Iwasaki Y, Kamiya K. Loss of life after evacuation: lessons learned from the Fukushima accident. </w:t>
      </w:r>
      <w:r w:rsidRPr="00F726F9">
        <w:rPr>
          <w:b/>
          <w:color w:val="FF0000"/>
          <w:lang w:val="fr-CH"/>
        </w:rPr>
        <w:t>Lancet 379(9819): 889-891, 2012</w:t>
      </w:r>
    </w:p>
    <w:p w14:paraId="652886F9" w14:textId="77777777" w:rsidR="00371B09" w:rsidRPr="00F726F9" w:rsidRDefault="00371B09" w:rsidP="00371B09">
      <w:pPr>
        <w:rPr>
          <w:b/>
          <w:color w:val="FF0000"/>
          <w:lang w:val="fr-CH"/>
        </w:rPr>
      </w:pPr>
      <w:r w:rsidRPr="00F726F9">
        <w:rPr>
          <w:b/>
          <w:color w:val="FF0000"/>
          <w:lang w:val="fr-CH"/>
        </w:rPr>
        <w:t>http://ac.els-cdn.com/S0140673612603845/1-s2.0-S0140673612603845-main.pdf?_tid=06ef8848-d896-11e6-856a-00000aacb35e&amp;acdnat=1484205</w:t>
      </w:r>
    </w:p>
    <w:p w14:paraId="5ECEE542" w14:textId="77777777" w:rsidR="00371B09" w:rsidRPr="00F726F9" w:rsidRDefault="00371B09" w:rsidP="00371B09">
      <w:pPr>
        <w:rPr>
          <w:b/>
          <w:color w:val="FF0000"/>
          <w:lang w:val="fr-CH"/>
        </w:rPr>
      </w:pPr>
    </w:p>
    <w:p w14:paraId="6483784C" w14:textId="77777777" w:rsidR="005739FC" w:rsidRPr="00371B09" w:rsidRDefault="005739FC" w:rsidP="00776833">
      <w:pPr>
        <w:ind w:firstLine="735"/>
        <w:rPr>
          <w:rStyle w:val="apple-converted-space"/>
          <w:rFonts w:ascii="Calibri" w:hAnsi="Calibri" w:cs="Calibri"/>
          <w:b/>
          <w:color w:val="000000"/>
          <w:sz w:val="24"/>
          <w:szCs w:val="24"/>
          <w:shd w:val="clear" w:color="auto" w:fill="FFFFFF"/>
          <w:lang w:val="fr-CH"/>
        </w:rPr>
      </w:pPr>
    </w:p>
    <w:p w14:paraId="7582A900" w14:textId="6038B816" w:rsidR="00C41EBD" w:rsidRPr="00371B09" w:rsidRDefault="00371B09" w:rsidP="00371B09">
      <w:pPr>
        <w:ind w:left="105" w:hanging="105"/>
        <w:jc w:val="center"/>
        <w:rPr>
          <w:rStyle w:val="apple-converted-space"/>
          <w:rFonts w:ascii="Calibri" w:hAnsi="Calibri" w:cs="Calibri"/>
          <w:color w:val="000000"/>
          <w:shd w:val="clear" w:color="auto" w:fill="FFFFFF"/>
          <w:lang w:val="fr-CH"/>
        </w:rPr>
      </w:pPr>
      <w:r w:rsidRPr="00371B09">
        <w:rPr>
          <w:rStyle w:val="apple-converted-space"/>
          <w:rFonts w:ascii="Calibri" w:hAnsi="Calibri" w:cs="Calibri"/>
          <w:color w:val="000000"/>
          <w:shd w:val="clear" w:color="auto" w:fill="FFFFFF"/>
          <w:lang w:val="fr-CH"/>
        </w:rPr>
        <w:t>End</w:t>
      </w:r>
    </w:p>
    <w:sectPr w:rsidR="00C41EBD" w:rsidRPr="00371B0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4B6C" w14:textId="77777777" w:rsidR="004864A1" w:rsidRDefault="004864A1" w:rsidP="004864A1">
      <w:r>
        <w:separator/>
      </w:r>
    </w:p>
  </w:endnote>
  <w:endnote w:type="continuationSeparator" w:id="0">
    <w:p w14:paraId="54072FB0" w14:textId="77777777" w:rsidR="004864A1" w:rsidRDefault="004864A1" w:rsidP="0048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48585"/>
      <w:docPartObj>
        <w:docPartGallery w:val="Page Numbers (Bottom of Page)"/>
        <w:docPartUnique/>
      </w:docPartObj>
    </w:sdtPr>
    <w:sdtEndPr/>
    <w:sdtContent>
      <w:p w14:paraId="251FE9FB" w14:textId="77777777" w:rsidR="00E10EEF" w:rsidRDefault="00E10EEF">
        <w:pPr>
          <w:pStyle w:val="a6"/>
          <w:jc w:val="center"/>
        </w:pPr>
        <w:r>
          <w:fldChar w:fldCharType="begin"/>
        </w:r>
        <w:r>
          <w:instrText>PAGE   \* MERGEFORMAT</w:instrText>
        </w:r>
        <w:r>
          <w:fldChar w:fldCharType="separate"/>
        </w:r>
        <w:r w:rsidR="000C2F4E" w:rsidRPr="000C2F4E">
          <w:rPr>
            <w:noProof/>
            <w:lang w:val="ja-JP"/>
          </w:rPr>
          <w:t>1</w:t>
        </w:r>
        <w:r>
          <w:fldChar w:fldCharType="end"/>
        </w:r>
      </w:p>
    </w:sdtContent>
  </w:sdt>
  <w:p w14:paraId="54601188" w14:textId="77777777" w:rsidR="004864A1" w:rsidRDefault="004864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972AC" w14:textId="77777777" w:rsidR="004864A1" w:rsidRDefault="004864A1" w:rsidP="004864A1">
      <w:r>
        <w:separator/>
      </w:r>
    </w:p>
  </w:footnote>
  <w:footnote w:type="continuationSeparator" w:id="0">
    <w:p w14:paraId="1497EA39" w14:textId="77777777" w:rsidR="004864A1" w:rsidRDefault="004864A1" w:rsidP="004864A1">
      <w:r>
        <w:continuationSeparator/>
      </w:r>
    </w:p>
  </w:footnote>
  <w:footnote w:id="1">
    <w:p w14:paraId="5369553D" w14:textId="77777777" w:rsidR="00DC251E" w:rsidRDefault="00DC251E" w:rsidP="00DC251E">
      <w:pPr>
        <w:pStyle w:val="a8"/>
      </w:pPr>
      <w:r>
        <w:rPr>
          <w:rStyle w:val="aa"/>
        </w:rPr>
        <w:footnoteRef/>
      </w:r>
      <w:r>
        <w:t xml:space="preserve"> </w:t>
      </w:r>
      <w:r>
        <w:t>Dr. Shunichi Yamashita, Vice-Rector of Nagasaki University;</w:t>
      </w:r>
    </w:p>
    <w:p w14:paraId="2B1A00E3" w14:textId="2A492DFE" w:rsidR="00DC251E" w:rsidRDefault="00DC251E" w:rsidP="006E3379">
      <w:pPr>
        <w:pStyle w:val="a8"/>
        <w:ind w:leftChars="100" w:left="210"/>
      </w:pPr>
      <w:r>
        <w:t>Dr. Kazuhiko Moji, Vice Dean, Professor, School of Tropical Medicine and Global Health, Nagasaki University;</w:t>
      </w:r>
    </w:p>
    <w:p w14:paraId="1FA0D77D" w14:textId="361A1D55" w:rsidR="00DC251E" w:rsidRDefault="00DC251E" w:rsidP="006E3379">
      <w:pPr>
        <w:pStyle w:val="a8"/>
        <w:ind w:leftChars="50" w:left="205" w:hangingChars="50" w:hanging="100"/>
      </w:pPr>
      <w:r>
        <w:t xml:space="preserve"> Dr. Noboru Takamura, M.D., Professor and Chair, Atomic Bomb Disease Inst</w:t>
      </w:r>
      <w:r w:rsidR="006E3379">
        <w:t>itute, Nagasaki University; and</w:t>
      </w:r>
    </w:p>
    <w:p w14:paraId="129F4F22" w14:textId="25195963" w:rsidR="00DC251E" w:rsidRPr="00DC251E" w:rsidRDefault="00DC251E" w:rsidP="006E3379">
      <w:pPr>
        <w:pStyle w:val="a8"/>
        <w:ind w:left="200" w:hangingChars="100" w:hanging="200"/>
        <w:rPr>
          <w:rFonts w:eastAsiaTheme="minorEastAsia" w:hint="eastAsia"/>
          <w:lang w:eastAsia="ja-JP"/>
        </w:rPr>
      </w:pPr>
      <w:r>
        <w:t xml:space="preserve"> </w:t>
      </w:r>
      <w:r w:rsidR="006E3379">
        <w:t xml:space="preserve"> </w:t>
      </w:r>
      <w:r>
        <w:t>Ms. Makiko Orita, Department of Global Health, Medicine, and Welfare, Atomic Bomb Disease Institute, Nagasaki University.</w:t>
      </w:r>
    </w:p>
  </w:footnote>
  <w:footnote w:id="2">
    <w:p w14:paraId="25289B55" w14:textId="77777777" w:rsidR="000572EF" w:rsidRPr="000572EF" w:rsidRDefault="000572EF">
      <w:pPr>
        <w:pStyle w:val="a8"/>
        <w:rPr>
          <w:rFonts w:eastAsiaTheme="minorEastAsia"/>
          <w:lang w:eastAsia="ja-JP"/>
        </w:rPr>
      </w:pPr>
      <w:r>
        <w:rPr>
          <w:rStyle w:val="aa"/>
        </w:rPr>
        <w:footnoteRef/>
      </w:r>
      <w:r>
        <w:t xml:space="preserve"> </w:t>
      </w:r>
      <w:r w:rsidRPr="000572EF">
        <w:t>Fire and Disaster Management Agency</w:t>
      </w:r>
      <w:r>
        <w:t>, 154</w:t>
      </w:r>
      <w:r w:rsidRPr="000572EF">
        <w:rPr>
          <w:vertAlign w:val="superscript"/>
        </w:rPr>
        <w:t>th</w:t>
      </w:r>
      <w:r>
        <w:t xml:space="preserve"> Situation report of </w:t>
      </w:r>
      <w:r w:rsidRPr="000572EF">
        <w:t xml:space="preserve">the </w:t>
      </w:r>
      <w:r w:rsidR="00C14EAE">
        <w:t xml:space="preserve">2011 </w:t>
      </w:r>
      <w:r w:rsidRPr="000572EF">
        <w:t>Great East Japan Earthquake</w:t>
      </w:r>
      <w:r w:rsidR="00C14EAE">
        <w:t xml:space="preserve"> dated 20 October 2016, available at</w:t>
      </w:r>
      <w:r>
        <w:rPr>
          <w:rFonts w:hint="eastAsia"/>
          <w:lang w:eastAsia="ja-JP"/>
        </w:rPr>
        <w:tab/>
      </w:r>
      <w:hyperlink r:id="rId1" w:history="1">
        <w:r w:rsidRPr="0020216E">
          <w:rPr>
            <w:rStyle w:val="a3"/>
            <w:lang w:eastAsia="ja-JP"/>
          </w:rPr>
          <w:t>http://www.fdma.go.jp/bn/higaihou_new.html</w:t>
        </w:r>
      </w:hyperlink>
    </w:p>
  </w:footnote>
  <w:footnote w:id="3">
    <w:p w14:paraId="21DBD1F0" w14:textId="77777777" w:rsidR="000542D3" w:rsidRDefault="00463085">
      <w:pPr>
        <w:pStyle w:val="a8"/>
      </w:pPr>
      <w:r>
        <w:rPr>
          <w:rStyle w:val="aa"/>
        </w:rPr>
        <w:footnoteRef/>
      </w:r>
      <w:r>
        <w:t xml:space="preserve"> </w:t>
      </w:r>
      <w:r w:rsidR="000542D3" w:rsidRPr="000542D3">
        <w:t>Ministry of Land, Infrastructure, Transport, and Tourism (MLIT)</w:t>
      </w:r>
      <w:r w:rsidR="000542D3">
        <w:t>,</w:t>
      </w:r>
      <w:r w:rsidR="000542D3" w:rsidRPr="000542D3">
        <w:t xml:space="preserve"> WHITE PAPER ON LAND, INFRASTRUCTURE, TRANSPORT, AND TOURISM IN JAPAN, 2010 </w:t>
      </w:r>
      <w:hyperlink r:id="rId2" w:history="1">
        <w:r w:rsidR="000542D3" w:rsidRPr="0020216E">
          <w:rPr>
            <w:rStyle w:val="a3"/>
          </w:rPr>
          <w:t>http://www.mlit.go.jp/english/white-paper/2010.pdf</w:t>
        </w:r>
      </w:hyperlink>
      <w:r w:rsidR="000542D3">
        <w:t xml:space="preserve"> </w:t>
      </w:r>
    </w:p>
    <w:p w14:paraId="0911B7A9" w14:textId="77777777" w:rsidR="000542D3" w:rsidRPr="00463085" w:rsidRDefault="000542D3">
      <w:pPr>
        <w:pStyle w:val="a8"/>
        <w:rPr>
          <w:rFonts w:eastAsiaTheme="minorEastAsia"/>
          <w:lang w:eastAsia="ja-JP"/>
        </w:rPr>
      </w:pPr>
      <w:r>
        <w:t xml:space="preserve">Graphic </w:t>
      </w:r>
      <w:r w:rsidRPr="000542D3">
        <w:t xml:space="preserve">25: Trend of the Number of Evacuees in the Great East Japan Earthquake (Compared to the Great Hanshin-Awaji Earthquake) </w:t>
      </w:r>
      <w:hyperlink r:id="rId3" w:history="1">
        <w:r w:rsidRPr="0020216E">
          <w:rPr>
            <w:rStyle w:val="a3"/>
          </w:rPr>
          <w:t>http://www.mlit.go.jp/hakusyo/mlit/h22/hakusho/h23/index.html</w:t>
        </w:r>
      </w:hyperlink>
    </w:p>
  </w:footnote>
  <w:footnote w:id="4">
    <w:p w14:paraId="07BF8F36" w14:textId="77777777" w:rsidR="00FA4D50" w:rsidRPr="00FA4D50" w:rsidRDefault="00FA4D50" w:rsidP="0097140D">
      <w:pPr>
        <w:jc w:val="left"/>
        <w:rPr>
          <w:lang w:val="en-GB"/>
        </w:rPr>
      </w:pPr>
      <w:r>
        <w:rPr>
          <w:rStyle w:val="aa"/>
        </w:rPr>
        <w:footnoteRef/>
      </w:r>
      <w:r>
        <w:t xml:space="preserve"> Reconstruction Agency, “Numbers of evacuees following the </w:t>
      </w:r>
      <w:r w:rsidRPr="00FA4D50">
        <w:t>Great East Japan Earthquake and Tsunami of 2011</w:t>
      </w:r>
      <w:r w:rsidR="00463085">
        <w:t xml:space="preserve"> as of 28 February 2017</w:t>
      </w:r>
      <w:r>
        <w:t xml:space="preserve">” in Japanese, accessed on 6 March 2017 at  </w:t>
      </w:r>
      <w:hyperlink r:id="rId4" w:history="1">
        <w:r w:rsidRPr="0020216E">
          <w:rPr>
            <w:rStyle w:val="a3"/>
            <w:rFonts w:ascii="Cambria" w:eastAsia="Cambria" w:hAnsi="Cambria" w:cs="Arial"/>
            <w:kern w:val="0"/>
            <w:sz w:val="20"/>
            <w:szCs w:val="20"/>
            <w:lang w:val="en-GB" w:eastAsia="en-US"/>
          </w:rPr>
          <w:t>http://www.reconstruction.go.jp/topics/main-cat2/sub-cat2-1/20170228_hinansha.pdf</w:t>
        </w:r>
      </w:hyperlink>
    </w:p>
  </w:footnote>
  <w:footnote w:id="5">
    <w:p w14:paraId="5AE5C2AA" w14:textId="77777777" w:rsidR="00AB759B" w:rsidRPr="005313DF" w:rsidRDefault="00AB759B" w:rsidP="00AB759B">
      <w:pPr>
        <w:pStyle w:val="a8"/>
        <w:rPr>
          <w:rFonts w:eastAsia="ＭＳ 明朝"/>
          <w:lang w:eastAsia="ja-JP"/>
        </w:rPr>
      </w:pPr>
      <w:r>
        <w:rPr>
          <w:rStyle w:val="aa"/>
        </w:rPr>
        <w:footnoteRef/>
      </w:r>
      <w:r w:rsidRPr="005313DF">
        <w:rPr>
          <w:rFonts w:ascii="Century" w:eastAsia="ＭＳ 明朝" w:hAnsi="Century" w:cs="ＭＳ 明朝"/>
          <w:lang w:eastAsia="ja-JP"/>
        </w:rPr>
        <w:t>According to official statistics of the Fukushima Prefecture, the number of evacuees peaked to 164,865 in May 201</w:t>
      </w:r>
      <w:r w:rsidR="004F3B65">
        <w:rPr>
          <w:rFonts w:ascii="Century" w:eastAsia="ＭＳ 明朝" w:hAnsi="Century" w:cs="ＭＳ 明朝"/>
          <w:lang w:eastAsia="ja-JP"/>
        </w:rPr>
        <w:t>2</w:t>
      </w:r>
      <w:r w:rsidRPr="005313DF">
        <w:rPr>
          <w:rFonts w:ascii="Century" w:eastAsia="ＭＳ 明朝" w:hAnsi="Century" w:cs="ＭＳ 明朝"/>
          <w:lang w:eastAsia="ja-JP"/>
        </w:rPr>
        <w:t xml:space="preserve"> (See “Fukushima’s recovery trajectory, 18</w:t>
      </w:r>
      <w:r w:rsidRPr="005313DF">
        <w:rPr>
          <w:rFonts w:ascii="Century" w:eastAsia="ＭＳ 明朝" w:hAnsi="Century" w:cs="ＭＳ 明朝"/>
          <w:vertAlign w:val="superscript"/>
          <w:lang w:eastAsia="ja-JP"/>
        </w:rPr>
        <w:t>th</w:t>
      </w:r>
      <w:r w:rsidRPr="005313DF">
        <w:rPr>
          <w:rFonts w:ascii="Century" w:eastAsia="ＭＳ 明朝" w:hAnsi="Century" w:cs="ＭＳ 明朝"/>
          <w:lang w:eastAsia="ja-JP"/>
        </w:rPr>
        <w:t xml:space="preserve"> Edition, 5 December 2016 available at </w:t>
      </w:r>
      <w:hyperlink r:id="rId5" w:history="1">
        <w:r w:rsidRPr="005313DF">
          <w:rPr>
            <w:rStyle w:val="a3"/>
            <w:rFonts w:ascii="Century" w:eastAsia="ＭＳ 明朝" w:hAnsi="Century" w:cs="ＭＳ 明朝"/>
            <w:lang w:eastAsia="ja-JP"/>
          </w:rPr>
          <w:t>http://www.pref.fukushima.lg.jp/uploaded/attachment/195323.pdf</w:t>
        </w:r>
      </w:hyperlink>
      <w:r>
        <w:rPr>
          <w:rFonts w:ascii="ＭＳ 明朝" w:eastAsia="ＭＳ 明朝" w:hAnsi="ＭＳ 明朝" w:cs="ＭＳ 明朝"/>
          <w:lang w:eastAsia="ja-JP"/>
        </w:rPr>
        <w:t xml:space="preserve">). </w:t>
      </w:r>
    </w:p>
  </w:footnote>
  <w:footnote w:id="6">
    <w:p w14:paraId="3B69C881" w14:textId="77777777" w:rsidR="003637E2" w:rsidRPr="003637E2" w:rsidRDefault="003637E2">
      <w:pPr>
        <w:pStyle w:val="a8"/>
        <w:rPr>
          <w:rFonts w:eastAsiaTheme="minorEastAsia"/>
          <w:lang w:eastAsia="ja-JP"/>
        </w:rPr>
      </w:pPr>
      <w:r>
        <w:rPr>
          <w:rStyle w:val="aa"/>
        </w:rPr>
        <w:footnoteRef/>
      </w:r>
      <w:r>
        <w:t xml:space="preserve"> </w:t>
      </w:r>
      <w:r w:rsidR="00BE4108" w:rsidRPr="00A03D4F">
        <w:t>Reconstruction Agency, “The number of disaster-related deaths due to the</w:t>
      </w:r>
      <w:r w:rsidR="00BE4108">
        <w:t xml:space="preserve"> Great East Japan Earthquake”, 16 January 2017,</w:t>
      </w:r>
      <w:r w:rsidR="00BE4108" w:rsidRPr="00A03D4F">
        <w:t xml:space="preserve"> (in Japanese)</w:t>
      </w:r>
      <w:r w:rsidR="00BE4108">
        <w:t>, see</w:t>
      </w:r>
      <w:r w:rsidR="00BE4108" w:rsidRPr="00A03D4F">
        <w:t xml:space="preserve"> </w:t>
      </w:r>
      <w:hyperlink r:id="rId6" w:history="1">
        <w:r w:rsidR="00BE4108" w:rsidRPr="004F709F">
          <w:rPr>
            <w:rStyle w:val="a3"/>
          </w:rPr>
          <w:t>http://www.reconstruction.go.jp/topics/main-cat2/sub-cat2-6/20160930_kanrenshi.pdf</w:t>
        </w:r>
      </w:hyperlink>
      <w:r w:rsidR="00BE4108">
        <w:t xml:space="preserve"> </w:t>
      </w:r>
      <w:r w:rsidR="00BE4108" w:rsidRPr="00A03D4F">
        <w:t xml:space="preserve">accessed </w:t>
      </w:r>
      <w:r w:rsidR="00BE4108">
        <w:t>3 March 2017.</w:t>
      </w:r>
    </w:p>
  </w:footnote>
  <w:footnote w:id="7">
    <w:p w14:paraId="643DC10C" w14:textId="77777777" w:rsidR="00BE4108" w:rsidRPr="005313DF" w:rsidRDefault="00BE4108" w:rsidP="00BE4108">
      <w:r>
        <w:rPr>
          <w:rStyle w:val="aa"/>
        </w:rPr>
        <w:footnoteRef/>
      </w:r>
      <w:r>
        <w:t xml:space="preserve"> </w:t>
      </w:r>
      <w:r w:rsidRPr="00C809AA">
        <w:t xml:space="preserve">Ibid. </w:t>
      </w:r>
    </w:p>
  </w:footnote>
  <w:footnote w:id="8">
    <w:p w14:paraId="041489D2" w14:textId="77777777" w:rsidR="00397354" w:rsidRDefault="00397354" w:rsidP="00397354">
      <w:pPr>
        <w:pStyle w:val="a8"/>
      </w:pPr>
      <w:r>
        <w:rPr>
          <w:rStyle w:val="aa"/>
        </w:rPr>
        <w:footnoteRef/>
      </w:r>
      <w:r>
        <w:t xml:space="preserve"> Cabinet Office, Japan, “White Paper on Disaster Management in Japan 2016” accessed on 5 March 2017, </w:t>
      </w:r>
      <w:r w:rsidRPr="0055777F">
        <w:t>Fig A-19</w:t>
      </w:r>
      <w:r>
        <w:t xml:space="preserve">, on Page A-34 at: </w:t>
      </w:r>
    </w:p>
    <w:p w14:paraId="2FFD04F4" w14:textId="2AB5CE1B" w:rsidR="00397354" w:rsidRPr="0055777F" w:rsidRDefault="000C2F4E" w:rsidP="00397354">
      <w:pPr>
        <w:pStyle w:val="a8"/>
        <w:rPr>
          <w:rFonts w:eastAsiaTheme="minorEastAsia"/>
          <w:lang w:eastAsia="ja-JP"/>
        </w:rPr>
      </w:pPr>
      <w:hyperlink r:id="rId7" w:history="1">
        <w:r w:rsidR="00B42106" w:rsidRPr="008C13CB">
          <w:rPr>
            <w:rStyle w:val="a3"/>
          </w:rPr>
          <w:t>http://www.bousai.go.jp/kyoiku/panf/pdf/WP2016_DM_Full_Version.pdf</w:t>
        </w:r>
      </w:hyperlink>
      <w:r w:rsidR="0057386E">
        <w:rPr>
          <w:rStyle w:val="a3"/>
        </w:rPr>
        <w:t xml:space="preserve"> </w:t>
      </w:r>
    </w:p>
  </w:footnote>
  <w:footnote w:id="9">
    <w:p w14:paraId="18B3CB60" w14:textId="77777777" w:rsidR="00E560D5" w:rsidRPr="00E560D5" w:rsidRDefault="00E560D5" w:rsidP="00E560D5">
      <w:pPr>
        <w:rPr>
          <w:lang w:val="en-GB"/>
        </w:rPr>
      </w:pPr>
      <w:r>
        <w:rPr>
          <w:rStyle w:val="aa"/>
        </w:rPr>
        <w:footnoteRef/>
      </w:r>
      <w:r>
        <w:t xml:space="preserve"> </w:t>
      </w:r>
      <w:r w:rsidRPr="00E560D5">
        <w:rPr>
          <w:lang w:val="en-GB"/>
        </w:rPr>
        <w:t>Reconstruction Agency</w:t>
      </w:r>
      <w:r w:rsidRPr="00E560D5">
        <w:rPr>
          <w:b/>
          <w:lang w:val="en-GB"/>
        </w:rPr>
        <w:t xml:space="preserve"> </w:t>
      </w:r>
      <w:r w:rsidRPr="00E560D5">
        <w:rPr>
          <w:lang w:val="en-GB"/>
        </w:rPr>
        <w:t>of Japan, “Current Status of Reconstruction and Challenges”</w:t>
      </w:r>
    </w:p>
    <w:p w14:paraId="448DE755" w14:textId="77777777" w:rsidR="00E560D5" w:rsidRPr="005F254E" w:rsidRDefault="00E560D5" w:rsidP="00E560D5">
      <w:pPr>
        <w:rPr>
          <w:lang w:val="en-GB"/>
        </w:rPr>
      </w:pPr>
      <w:r>
        <w:rPr>
          <w:lang w:val="en-GB"/>
        </w:rPr>
        <w:t xml:space="preserve">(Page on </w:t>
      </w:r>
      <w:r w:rsidRPr="005F254E">
        <w:rPr>
          <w:lang w:val="en-GB"/>
        </w:rPr>
        <w:t>Budget for Reconstruction</w:t>
      </w:r>
      <w:r>
        <w:rPr>
          <w:lang w:val="en-GB"/>
        </w:rPr>
        <w:t xml:space="preserve">), </w:t>
      </w:r>
      <w:r w:rsidRPr="005F254E">
        <w:rPr>
          <w:lang w:val="en-GB"/>
        </w:rPr>
        <w:t>November, 2016</w:t>
      </w:r>
      <w:r>
        <w:rPr>
          <w:lang w:val="en-GB"/>
        </w:rPr>
        <w:t xml:space="preserve"> accessed on 9 march 2017 at </w:t>
      </w:r>
    </w:p>
    <w:p w14:paraId="12F09055" w14:textId="77777777" w:rsidR="00E560D5" w:rsidRPr="00E560D5" w:rsidRDefault="000C2F4E" w:rsidP="00E560D5">
      <w:pPr>
        <w:pStyle w:val="a8"/>
        <w:rPr>
          <w:rFonts w:eastAsiaTheme="minorEastAsia"/>
          <w:lang w:eastAsia="ja-JP"/>
        </w:rPr>
      </w:pPr>
      <w:hyperlink r:id="rId8" w:history="1">
        <w:r w:rsidR="00E560D5" w:rsidRPr="00B92752">
          <w:rPr>
            <w:rStyle w:val="a3"/>
          </w:rPr>
          <w:t>http://www.reconstruction.go.jp/english/topics/Progress_to_date/pdf/201611_Current_Status_of_Reconstruction_and_Challenges.pdf</w:t>
        </w:r>
      </w:hyperlink>
    </w:p>
  </w:footnote>
  <w:footnote w:id="10">
    <w:p w14:paraId="3B95862A" w14:textId="77777777" w:rsidR="001F1C9C" w:rsidRPr="005313DF" w:rsidRDefault="001F1C9C" w:rsidP="001F1C9C">
      <w:pPr>
        <w:rPr>
          <w:rFonts w:eastAsia="ＭＳ 明朝"/>
        </w:rPr>
      </w:pPr>
      <w:r>
        <w:rPr>
          <w:rStyle w:val="aa"/>
        </w:rPr>
        <w:footnoteRef/>
      </w:r>
      <w:r>
        <w:t xml:space="preserve"> “</w:t>
      </w:r>
      <w:r w:rsidRPr="00FC7A0A">
        <w:t>Costs and Consequences of the Fukushima Daiichi Disaster</w:t>
      </w:r>
      <w:r>
        <w:t xml:space="preserve">” by </w:t>
      </w:r>
      <w:r w:rsidRPr="00FC7A0A">
        <w:t>Steven Starr,</w:t>
      </w:r>
      <w:r>
        <w:t xml:space="preserve"> p</w:t>
      </w:r>
      <w:r w:rsidRPr="00B55067">
        <w:t>osted on October 31, 2012</w:t>
      </w:r>
      <w:r>
        <w:t xml:space="preserve"> at </w:t>
      </w:r>
      <w:r w:rsidRPr="00B55067">
        <w:rPr>
          <w:rFonts w:eastAsia="Cambria"/>
          <w:sz w:val="20"/>
          <w:szCs w:val="20"/>
          <w:lang w:val="en-GB"/>
        </w:rPr>
        <w:t>http://www.psr.org/environment-and-health/environmental-health-policy-institute/responses/costs-and-consequences-of-fukushima.html?referrer=https://www.google.ch/</w:t>
      </w:r>
    </w:p>
  </w:footnote>
  <w:footnote w:id="11">
    <w:p w14:paraId="7248CEF9" w14:textId="77777777" w:rsidR="001F1C9C" w:rsidRPr="00775A2D" w:rsidRDefault="001F1C9C" w:rsidP="001F1C9C">
      <w:pPr>
        <w:pStyle w:val="a8"/>
        <w:rPr>
          <w:rFonts w:eastAsiaTheme="minorEastAsia"/>
          <w:lang w:eastAsia="ja-JP"/>
        </w:rPr>
      </w:pPr>
      <w:r>
        <w:rPr>
          <w:rStyle w:val="aa"/>
        </w:rPr>
        <w:footnoteRef/>
      </w:r>
      <w:r>
        <w:t xml:space="preserve"> </w:t>
      </w:r>
      <w:r w:rsidRPr="006E7535">
        <w:t>TEPCO, “New Comprehensive Special Business Plan”, 31 March 2016, in http://www.tepco.co.jp/en/press/corp-com/release/betu16_e/images/160331e0201.pdf</w:t>
      </w:r>
    </w:p>
  </w:footnote>
  <w:footnote w:id="12">
    <w:p w14:paraId="6E391EDD" w14:textId="77777777" w:rsidR="001F1C9C" w:rsidRPr="003867F7" w:rsidRDefault="001F1C9C" w:rsidP="001F1C9C">
      <w:pPr>
        <w:pStyle w:val="a8"/>
        <w:rPr>
          <w:rFonts w:eastAsiaTheme="minorEastAsia"/>
          <w:lang w:eastAsia="ja-JP"/>
        </w:rPr>
      </w:pPr>
      <w:r>
        <w:rPr>
          <w:rStyle w:val="aa"/>
        </w:rPr>
        <w:footnoteRef/>
      </w:r>
      <w:r>
        <w:t xml:space="preserve"> </w:t>
      </w:r>
      <w:r w:rsidRPr="003867F7">
        <w:rPr>
          <w:rFonts w:asciiTheme="minorHAnsi" w:eastAsiaTheme="minorEastAsia" w:hAnsiTheme="minorHAnsi" w:cstheme="minorBidi"/>
          <w:kern w:val="2"/>
          <w:sz w:val="21"/>
          <w:szCs w:val="22"/>
          <w:lang w:val="en" w:eastAsia="ja-JP"/>
        </w:rPr>
        <w:t xml:space="preserve">Board of Audit of Japan, “Report on the results of the accounting audit regarding the implementation status of government's assistance provided to TEPCO for compensation for nuclear damage”, March 2015, (in Japanese), see </w:t>
      </w:r>
      <w:hyperlink r:id="rId9" w:history="1">
        <w:r w:rsidRPr="003867F7">
          <w:rPr>
            <w:rFonts w:ascii="Segoe UI Symbol" w:eastAsiaTheme="minorEastAsia" w:hAnsi="Segoe UI Symbol" w:cs="Segoe UI Symbol"/>
            <w:color w:val="0000FF"/>
            <w:kern w:val="2"/>
            <w:sz w:val="21"/>
            <w:szCs w:val="22"/>
            <w:u w:val="single"/>
            <w:lang w:val="en" w:eastAsia="ja-JP"/>
          </w:rPr>
          <w:t>☛</w:t>
        </w:r>
      </w:hyperlink>
      <w:r w:rsidRPr="003867F7">
        <w:rPr>
          <w:rFonts w:asciiTheme="minorHAnsi" w:eastAsiaTheme="minorEastAsia" w:hAnsiTheme="minorHAnsi" w:cstheme="minorBidi"/>
          <w:kern w:val="2"/>
          <w:sz w:val="21"/>
          <w:szCs w:val="22"/>
          <w:lang w:val="en" w:eastAsia="ja-JP"/>
        </w:rPr>
        <w:t>, accessed 12 April 2016.</w:t>
      </w:r>
    </w:p>
  </w:footnote>
  <w:footnote w:id="13">
    <w:p w14:paraId="20620098" w14:textId="77777777" w:rsidR="001F1C9C" w:rsidRDefault="001F1C9C" w:rsidP="001F1C9C">
      <w:pPr>
        <w:pStyle w:val="a8"/>
      </w:pPr>
      <w:r>
        <w:rPr>
          <w:rStyle w:val="aa"/>
        </w:rPr>
        <w:footnoteRef/>
      </w:r>
      <w:r>
        <w:rPr>
          <w:rFonts w:eastAsiaTheme="minorEastAsia" w:hint="eastAsia"/>
          <w:lang w:eastAsia="ja-JP"/>
        </w:rPr>
        <w:t xml:space="preserve"> Issued on </w:t>
      </w:r>
      <w:r>
        <w:t xml:space="preserve">27 July 2016 at </w:t>
      </w:r>
    </w:p>
    <w:p w14:paraId="6ABD87E1" w14:textId="77777777" w:rsidR="001F1C9C" w:rsidRPr="00775A2D" w:rsidRDefault="000C2F4E" w:rsidP="001F1C9C">
      <w:pPr>
        <w:pStyle w:val="a8"/>
        <w:rPr>
          <w:rFonts w:eastAsiaTheme="minorEastAsia"/>
          <w:lang w:eastAsia="ja-JP"/>
        </w:rPr>
      </w:pPr>
      <w:hyperlink r:id="rId10" w:anchor="_Toc455844015" w:history="1">
        <w:r w:rsidR="001F1C9C" w:rsidRPr="00975D3C">
          <w:rPr>
            <w:rStyle w:val="a3"/>
          </w:rPr>
          <w:t>https://www.worldnuclearreport.org/The-World-Nuclear-Industry-Status-Report-2016-HTML.html#_Toc455844015</w:t>
        </w:r>
      </w:hyperlink>
      <w:r w:rsidR="001F1C9C">
        <w:t xml:space="preserve">. </w:t>
      </w:r>
    </w:p>
  </w:footnote>
  <w:footnote w:id="14">
    <w:p w14:paraId="0412B994" w14:textId="77777777" w:rsidR="001F1C9C" w:rsidRDefault="001F1C9C" w:rsidP="001F1C9C">
      <w:pPr>
        <w:pStyle w:val="a8"/>
      </w:pPr>
      <w:r>
        <w:rPr>
          <w:rStyle w:val="aa"/>
        </w:rPr>
        <w:footnoteRef/>
      </w:r>
      <w:r>
        <w:t xml:space="preserve">Committee for Reforming TEPCO and Overcoming 1F Challenges (TEPCO Committee), “TEPCO’s Reform Plan” of 14 December 2016 (in Japanese) accessed on 7 February 2017 at:  </w:t>
      </w:r>
    </w:p>
    <w:p w14:paraId="5D661963" w14:textId="77777777" w:rsidR="001F1C9C" w:rsidRPr="006E7535" w:rsidRDefault="001F1C9C" w:rsidP="001F1C9C">
      <w:pPr>
        <w:pStyle w:val="a8"/>
        <w:rPr>
          <w:rFonts w:eastAsiaTheme="minorEastAsia"/>
          <w:lang w:eastAsia="ja-JP"/>
        </w:rPr>
      </w:pPr>
      <w:r>
        <w:t xml:space="preserve">http://www.meti.go.jp/committee/kenkyukai/energy_environment/touden_1f/pdf/007_01_00.pdf </w:t>
      </w:r>
    </w:p>
  </w:footnote>
  <w:footnote w:id="15">
    <w:p w14:paraId="301A58B6" w14:textId="77777777" w:rsidR="00195854" w:rsidRDefault="00195854" w:rsidP="00195854">
      <w:pPr>
        <w:pStyle w:val="a8"/>
      </w:pPr>
      <w:r>
        <w:rPr>
          <w:rStyle w:val="aa"/>
        </w:rPr>
        <w:footnoteRef/>
      </w:r>
      <w:r>
        <w:t xml:space="preserve"> United Nations University Institute for the Advanced Study of Sustainability</w:t>
      </w:r>
    </w:p>
    <w:p w14:paraId="72527CE8" w14:textId="458B8513" w:rsidR="00F058B5" w:rsidRPr="00195854" w:rsidRDefault="00195854" w:rsidP="00195854">
      <w:pPr>
        <w:pStyle w:val="a8"/>
        <w:rPr>
          <w:rFonts w:eastAsiaTheme="minorEastAsia"/>
          <w:lang w:eastAsia="ja-JP"/>
        </w:rPr>
      </w:pPr>
      <w:r>
        <w:t xml:space="preserve">“Fukushima Global Communication Programme Final Report”, August 2016 , P.7, </w:t>
      </w:r>
      <w:hyperlink r:id="rId11" w:history="1">
        <w:r w:rsidR="00F058B5" w:rsidRPr="008C13CB">
          <w:rPr>
            <w:rStyle w:val="a3"/>
          </w:rPr>
          <w:t>https://collections.unu.edu/eserv/UNU:5758/FGC_Final_Report_EN.pdf</w:t>
        </w:r>
      </w:hyperlink>
    </w:p>
  </w:footnote>
  <w:footnote w:id="16">
    <w:p w14:paraId="5B17E159" w14:textId="5D91873F" w:rsidR="00F36024" w:rsidRPr="00F36024" w:rsidRDefault="00F36024">
      <w:pPr>
        <w:pStyle w:val="a8"/>
        <w:rPr>
          <w:rFonts w:eastAsiaTheme="minorEastAsia"/>
          <w:lang w:eastAsia="ja-JP"/>
        </w:rPr>
      </w:pPr>
      <w:r>
        <w:rPr>
          <w:rStyle w:val="aa"/>
        </w:rPr>
        <w:footnoteRef/>
      </w:r>
      <w:r>
        <w:t xml:space="preserve"> </w:t>
      </w:r>
      <w:r>
        <w:rPr>
          <w:rFonts w:eastAsiaTheme="minorEastAsia"/>
          <w:lang w:eastAsia="ja-JP"/>
        </w:rPr>
        <w:t xml:space="preserve">Ibid. </w:t>
      </w:r>
    </w:p>
  </w:footnote>
  <w:footnote w:id="17">
    <w:p w14:paraId="1F5B76B4" w14:textId="77777777" w:rsidR="00F57811" w:rsidRDefault="00F57811" w:rsidP="00F57811">
      <w:pPr>
        <w:pStyle w:val="a8"/>
      </w:pPr>
      <w:r>
        <w:rPr>
          <w:rStyle w:val="aa"/>
        </w:rPr>
        <w:footnoteRef/>
      </w:r>
      <w:r>
        <w:t xml:space="preserve"> Statement by </w:t>
      </w:r>
      <w:r w:rsidRPr="00064ADB">
        <w:t>Mr. Robert Glasser, the UN Secretary-General’s Special Representative for Disaster Risk Reduction,</w:t>
      </w:r>
      <w:r>
        <w:t xml:space="preserve"> Geneva ,</w:t>
      </w:r>
      <w:r w:rsidRPr="00064ADB">
        <w:t>15 August 2016</w:t>
      </w:r>
      <w:r>
        <w:t xml:space="preserve"> accessed at </w:t>
      </w:r>
      <w:hyperlink r:id="rId12" w:history="1">
        <w:r w:rsidRPr="00042D84">
          <w:rPr>
            <w:rStyle w:val="a3"/>
          </w:rPr>
          <w:t>http://www.unisdr.org/archive/49885</w:t>
        </w:r>
      </w:hyperlink>
    </w:p>
    <w:p w14:paraId="12E59835" w14:textId="77777777" w:rsidR="00F57811" w:rsidRPr="00064ADB" w:rsidRDefault="00F57811" w:rsidP="00F57811">
      <w:pPr>
        <w:pStyle w:val="a8"/>
        <w:rPr>
          <w:rFonts w:eastAsiaTheme="minorEastAsia"/>
          <w:lang w:eastAsia="ja-JP"/>
        </w:rPr>
      </w:pPr>
    </w:p>
  </w:footnote>
  <w:footnote w:id="18">
    <w:p w14:paraId="013978A3" w14:textId="67B6965B" w:rsidR="000655BF" w:rsidRPr="000655BF" w:rsidRDefault="000655BF">
      <w:pPr>
        <w:pStyle w:val="a8"/>
        <w:rPr>
          <w:rFonts w:eastAsiaTheme="minorEastAsia"/>
          <w:lang w:eastAsia="ja-JP"/>
        </w:rPr>
      </w:pPr>
      <w:r>
        <w:rPr>
          <w:rStyle w:val="aa"/>
        </w:rPr>
        <w:footnoteRef/>
      </w:r>
      <w:r>
        <w:t xml:space="preserve"> </w:t>
      </w:r>
      <w:r>
        <w:rPr>
          <w:rFonts w:eastAsiaTheme="minorEastAsia"/>
          <w:lang w:eastAsia="ja-JP"/>
        </w:rPr>
        <w:t>Ibid.</w:t>
      </w:r>
    </w:p>
  </w:footnote>
  <w:footnote w:id="19">
    <w:p w14:paraId="06D0985B" w14:textId="77777777" w:rsidR="007F6979" w:rsidRDefault="007F6979" w:rsidP="007F6979">
      <w:pPr>
        <w:pStyle w:val="a8"/>
      </w:pPr>
      <w:r>
        <w:rPr>
          <w:rStyle w:val="aa"/>
        </w:rPr>
        <w:footnoteRef/>
      </w:r>
      <w:r>
        <w:t xml:space="preserve"> At its 1st plenary meeting, on 14 March 2015, the Conference adopted its</w:t>
      </w:r>
    </w:p>
    <w:p w14:paraId="1E34200F" w14:textId="1DAF985E" w:rsidR="007F6979" w:rsidRPr="007F6979" w:rsidRDefault="007F6979" w:rsidP="007F6979">
      <w:pPr>
        <w:pStyle w:val="a8"/>
        <w:rPr>
          <w:rFonts w:eastAsiaTheme="minorEastAsia"/>
          <w:lang w:eastAsia="ja-JP"/>
        </w:rPr>
      </w:pPr>
      <w:r>
        <w:t>agenda (A/CONF.224/1/Rev.1).</w:t>
      </w:r>
    </w:p>
  </w:footnote>
  <w:footnote w:id="20">
    <w:p w14:paraId="38414DDC" w14:textId="746D5E8B" w:rsidR="009B0E82" w:rsidRPr="009B0E82" w:rsidRDefault="009B0E82" w:rsidP="009B0E82">
      <w:pPr>
        <w:pStyle w:val="a8"/>
        <w:rPr>
          <w:rFonts w:eastAsiaTheme="minorEastAsia"/>
          <w:lang w:eastAsia="ja-JP"/>
        </w:rPr>
      </w:pPr>
      <w:r>
        <w:rPr>
          <w:rStyle w:val="aa"/>
        </w:rPr>
        <w:footnoteRef/>
      </w:r>
      <w:r>
        <w:t xml:space="preserve"> ISDR, “Proceedings of the Third UN World Conference On Disaster Risk Reduction, P.84 available at:</w:t>
      </w:r>
      <w:r w:rsidR="00D13CEF">
        <w:t xml:space="preserve"> </w:t>
      </w:r>
      <w:r>
        <w:t>http://www.preventionweb.net/files/45069_proceedingsthirdunitednationsworldc.pdf</w:t>
      </w:r>
    </w:p>
  </w:footnote>
  <w:footnote w:id="21">
    <w:p w14:paraId="0AB324C2" w14:textId="77777777" w:rsidR="00C3239D" w:rsidRDefault="00282D2C">
      <w:pPr>
        <w:pStyle w:val="a8"/>
      </w:pPr>
      <w:r>
        <w:rPr>
          <w:rStyle w:val="aa"/>
        </w:rPr>
        <w:footnoteRef/>
      </w:r>
      <w:r>
        <w:t xml:space="preserve"> UN Document, “</w:t>
      </w:r>
      <w:r w:rsidRPr="00282D2C">
        <w:t>Report of the open-ended intergovernmental expert working group on indicators and terminology relating to disaster risk reduction</w:t>
      </w:r>
      <w:r>
        <w:t>“(A/71/644)</w:t>
      </w:r>
      <w:r w:rsidR="00C3239D">
        <w:t>, P.19 available at:</w:t>
      </w:r>
    </w:p>
    <w:p w14:paraId="0019B2AE" w14:textId="7655DE94" w:rsidR="00282D2C" w:rsidRPr="003C7DBB" w:rsidRDefault="00282D2C">
      <w:pPr>
        <w:pStyle w:val="a8"/>
        <w:rPr>
          <w:sz w:val="16"/>
          <w:szCs w:val="16"/>
        </w:rPr>
      </w:pPr>
      <w:r w:rsidRPr="003C7DBB">
        <w:rPr>
          <w:sz w:val="16"/>
          <w:szCs w:val="16"/>
        </w:rPr>
        <w:t xml:space="preserve"> </w:t>
      </w:r>
      <w:hyperlink r:id="rId13" w:history="1">
        <w:r w:rsidR="00C3239D" w:rsidRPr="003C7DBB">
          <w:rPr>
            <w:rStyle w:val="a3"/>
            <w:sz w:val="16"/>
            <w:szCs w:val="16"/>
          </w:rPr>
          <w:t>https://documents-dds-ny.un.org/doc/UNDOC/GEN/N16/410/23/pdf/N1641023.pdf?OpenElement</w:t>
        </w:r>
      </w:hyperlink>
    </w:p>
    <w:p w14:paraId="31B598B5" w14:textId="77777777" w:rsidR="00C3239D" w:rsidRPr="00282D2C" w:rsidRDefault="00C3239D">
      <w:pPr>
        <w:pStyle w:val="a8"/>
        <w:rPr>
          <w:rFonts w:eastAsiaTheme="minorEastAsia"/>
          <w:lang w:eastAsia="ja-JP"/>
        </w:rPr>
      </w:pPr>
    </w:p>
  </w:footnote>
  <w:footnote w:id="22">
    <w:p w14:paraId="425FB85B" w14:textId="654B9353" w:rsidR="006472D8" w:rsidRPr="0017290D" w:rsidRDefault="006472D8">
      <w:pPr>
        <w:pStyle w:val="a8"/>
        <w:rPr>
          <w:rFonts w:eastAsiaTheme="minorEastAsia"/>
          <w:lang w:val="fr-CH" w:eastAsia="ja-JP"/>
        </w:rPr>
      </w:pPr>
      <w:r>
        <w:rPr>
          <w:rStyle w:val="aa"/>
        </w:rPr>
        <w:footnoteRef/>
      </w:r>
      <w:r w:rsidRPr="0017290D">
        <w:rPr>
          <w:lang w:val="fr-CH"/>
        </w:rPr>
        <w:t xml:space="preserve"> </w:t>
      </w:r>
      <w:r w:rsidRPr="0017290D">
        <w:rPr>
          <w:rFonts w:eastAsiaTheme="minorEastAsia"/>
          <w:lang w:val="fr-CH" w:eastAsia="ja-JP"/>
        </w:rPr>
        <w:t>UNU-IAS, Op. Cite, P.8.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252EF"/>
    <w:multiLevelType w:val="hybridMultilevel"/>
    <w:tmpl w:val="E434259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37"/>
    <w:rsid w:val="00006CA2"/>
    <w:rsid w:val="000070CD"/>
    <w:rsid w:val="000542D3"/>
    <w:rsid w:val="00056D16"/>
    <w:rsid w:val="000572EF"/>
    <w:rsid w:val="000603A6"/>
    <w:rsid w:val="00064ADB"/>
    <w:rsid w:val="000655BF"/>
    <w:rsid w:val="00071249"/>
    <w:rsid w:val="000A24C8"/>
    <w:rsid w:val="000B68CD"/>
    <w:rsid w:val="000C2F4E"/>
    <w:rsid w:val="000C38FA"/>
    <w:rsid w:val="000D03F2"/>
    <w:rsid w:val="000F4A81"/>
    <w:rsid w:val="000F4D10"/>
    <w:rsid w:val="001010BF"/>
    <w:rsid w:val="001306B9"/>
    <w:rsid w:val="00143DC2"/>
    <w:rsid w:val="001446D0"/>
    <w:rsid w:val="00155D12"/>
    <w:rsid w:val="001665CA"/>
    <w:rsid w:val="001677AB"/>
    <w:rsid w:val="0017290D"/>
    <w:rsid w:val="00174A6A"/>
    <w:rsid w:val="00195854"/>
    <w:rsid w:val="001A68FA"/>
    <w:rsid w:val="001B0589"/>
    <w:rsid w:val="001B60C4"/>
    <w:rsid w:val="001D7FB2"/>
    <w:rsid w:val="001E40DB"/>
    <w:rsid w:val="001F1C9C"/>
    <w:rsid w:val="001F449E"/>
    <w:rsid w:val="00203296"/>
    <w:rsid w:val="00203861"/>
    <w:rsid w:val="00227327"/>
    <w:rsid w:val="00233D66"/>
    <w:rsid w:val="00245243"/>
    <w:rsid w:val="00254FE6"/>
    <w:rsid w:val="00282D2C"/>
    <w:rsid w:val="00283D60"/>
    <w:rsid w:val="00286453"/>
    <w:rsid w:val="002B0980"/>
    <w:rsid w:val="002B7310"/>
    <w:rsid w:val="002B77FD"/>
    <w:rsid w:val="002C16C5"/>
    <w:rsid w:val="002C21F6"/>
    <w:rsid w:val="002C7F9D"/>
    <w:rsid w:val="002E0B59"/>
    <w:rsid w:val="002E5183"/>
    <w:rsid w:val="002E524A"/>
    <w:rsid w:val="002E6D3B"/>
    <w:rsid w:val="00300E12"/>
    <w:rsid w:val="00306515"/>
    <w:rsid w:val="00314D4C"/>
    <w:rsid w:val="003166F8"/>
    <w:rsid w:val="00320756"/>
    <w:rsid w:val="00354C9B"/>
    <w:rsid w:val="003637E2"/>
    <w:rsid w:val="00371B09"/>
    <w:rsid w:val="0038071F"/>
    <w:rsid w:val="003867F7"/>
    <w:rsid w:val="00397354"/>
    <w:rsid w:val="003A2AA8"/>
    <w:rsid w:val="003A546C"/>
    <w:rsid w:val="003B489B"/>
    <w:rsid w:val="003C13F8"/>
    <w:rsid w:val="003C7DBB"/>
    <w:rsid w:val="003D00D7"/>
    <w:rsid w:val="0040099F"/>
    <w:rsid w:val="00401256"/>
    <w:rsid w:val="00444BA3"/>
    <w:rsid w:val="0045114D"/>
    <w:rsid w:val="00452DAD"/>
    <w:rsid w:val="00463085"/>
    <w:rsid w:val="00483788"/>
    <w:rsid w:val="0048449E"/>
    <w:rsid w:val="004864A1"/>
    <w:rsid w:val="00496CD8"/>
    <w:rsid w:val="004A5636"/>
    <w:rsid w:val="004C550F"/>
    <w:rsid w:val="004E2391"/>
    <w:rsid w:val="004F3B65"/>
    <w:rsid w:val="00515E57"/>
    <w:rsid w:val="00533B9D"/>
    <w:rsid w:val="00537F6C"/>
    <w:rsid w:val="00545D28"/>
    <w:rsid w:val="0055777F"/>
    <w:rsid w:val="00557F06"/>
    <w:rsid w:val="00564EBD"/>
    <w:rsid w:val="0057386E"/>
    <w:rsid w:val="005739FC"/>
    <w:rsid w:val="0057416B"/>
    <w:rsid w:val="00586A6F"/>
    <w:rsid w:val="0059560B"/>
    <w:rsid w:val="005A55BC"/>
    <w:rsid w:val="005A6B01"/>
    <w:rsid w:val="005C1A63"/>
    <w:rsid w:val="005C7936"/>
    <w:rsid w:val="005E4EFA"/>
    <w:rsid w:val="006178CF"/>
    <w:rsid w:val="00645679"/>
    <w:rsid w:val="006472D8"/>
    <w:rsid w:val="00653970"/>
    <w:rsid w:val="00665617"/>
    <w:rsid w:val="00667A0C"/>
    <w:rsid w:val="006A0959"/>
    <w:rsid w:val="006A44FC"/>
    <w:rsid w:val="006B01DF"/>
    <w:rsid w:val="006E0D13"/>
    <w:rsid w:val="006E3379"/>
    <w:rsid w:val="006E7535"/>
    <w:rsid w:val="00700D28"/>
    <w:rsid w:val="00710242"/>
    <w:rsid w:val="0073642E"/>
    <w:rsid w:val="00744F87"/>
    <w:rsid w:val="00745580"/>
    <w:rsid w:val="0074585B"/>
    <w:rsid w:val="007711D4"/>
    <w:rsid w:val="007714C5"/>
    <w:rsid w:val="00772812"/>
    <w:rsid w:val="00775A2D"/>
    <w:rsid w:val="00776833"/>
    <w:rsid w:val="00782167"/>
    <w:rsid w:val="00795E42"/>
    <w:rsid w:val="007A00AF"/>
    <w:rsid w:val="007A46F6"/>
    <w:rsid w:val="007D301D"/>
    <w:rsid w:val="007D5B37"/>
    <w:rsid w:val="007D777B"/>
    <w:rsid w:val="007E5713"/>
    <w:rsid w:val="007E7BB2"/>
    <w:rsid w:val="007F6979"/>
    <w:rsid w:val="0082786D"/>
    <w:rsid w:val="00827A22"/>
    <w:rsid w:val="008561F6"/>
    <w:rsid w:val="0085756E"/>
    <w:rsid w:val="0088596F"/>
    <w:rsid w:val="008877AE"/>
    <w:rsid w:val="00893934"/>
    <w:rsid w:val="008B6997"/>
    <w:rsid w:val="008C04C3"/>
    <w:rsid w:val="008C4B45"/>
    <w:rsid w:val="008E3F8C"/>
    <w:rsid w:val="008F7302"/>
    <w:rsid w:val="0092513E"/>
    <w:rsid w:val="009370CA"/>
    <w:rsid w:val="00941465"/>
    <w:rsid w:val="00966BE6"/>
    <w:rsid w:val="0097140D"/>
    <w:rsid w:val="00971AAC"/>
    <w:rsid w:val="00976F98"/>
    <w:rsid w:val="009770ED"/>
    <w:rsid w:val="00981407"/>
    <w:rsid w:val="00991817"/>
    <w:rsid w:val="009A519C"/>
    <w:rsid w:val="009B0E82"/>
    <w:rsid w:val="009C20DC"/>
    <w:rsid w:val="009E175F"/>
    <w:rsid w:val="009E6A16"/>
    <w:rsid w:val="00A03D4F"/>
    <w:rsid w:val="00A100DB"/>
    <w:rsid w:val="00A113D8"/>
    <w:rsid w:val="00A11E4D"/>
    <w:rsid w:val="00A174FF"/>
    <w:rsid w:val="00A250B7"/>
    <w:rsid w:val="00A32DF7"/>
    <w:rsid w:val="00A444EB"/>
    <w:rsid w:val="00A622A9"/>
    <w:rsid w:val="00A80A56"/>
    <w:rsid w:val="00A82103"/>
    <w:rsid w:val="00A94221"/>
    <w:rsid w:val="00A97B98"/>
    <w:rsid w:val="00AB03F0"/>
    <w:rsid w:val="00AB0433"/>
    <w:rsid w:val="00AB1D57"/>
    <w:rsid w:val="00AB759B"/>
    <w:rsid w:val="00AE372C"/>
    <w:rsid w:val="00AE4C4A"/>
    <w:rsid w:val="00AF6356"/>
    <w:rsid w:val="00B050E7"/>
    <w:rsid w:val="00B076AE"/>
    <w:rsid w:val="00B14106"/>
    <w:rsid w:val="00B362B5"/>
    <w:rsid w:val="00B42106"/>
    <w:rsid w:val="00B5439F"/>
    <w:rsid w:val="00B54BA7"/>
    <w:rsid w:val="00B617E0"/>
    <w:rsid w:val="00B756EB"/>
    <w:rsid w:val="00B831C7"/>
    <w:rsid w:val="00B97E09"/>
    <w:rsid w:val="00BA6AF7"/>
    <w:rsid w:val="00BB0B3C"/>
    <w:rsid w:val="00BB524E"/>
    <w:rsid w:val="00BC2467"/>
    <w:rsid w:val="00BC454C"/>
    <w:rsid w:val="00BD0A33"/>
    <w:rsid w:val="00BD142F"/>
    <w:rsid w:val="00BD6228"/>
    <w:rsid w:val="00BD7BE3"/>
    <w:rsid w:val="00BE4108"/>
    <w:rsid w:val="00BE526A"/>
    <w:rsid w:val="00BF508D"/>
    <w:rsid w:val="00BF6DFA"/>
    <w:rsid w:val="00C14EAE"/>
    <w:rsid w:val="00C3239D"/>
    <w:rsid w:val="00C41EBD"/>
    <w:rsid w:val="00C519A7"/>
    <w:rsid w:val="00C6299B"/>
    <w:rsid w:val="00C76272"/>
    <w:rsid w:val="00C80CEC"/>
    <w:rsid w:val="00CA294A"/>
    <w:rsid w:val="00CC7B2A"/>
    <w:rsid w:val="00D04CAF"/>
    <w:rsid w:val="00D13CEF"/>
    <w:rsid w:val="00D32C6B"/>
    <w:rsid w:val="00D60374"/>
    <w:rsid w:val="00DB2767"/>
    <w:rsid w:val="00DB2AD9"/>
    <w:rsid w:val="00DC251E"/>
    <w:rsid w:val="00DC2825"/>
    <w:rsid w:val="00DD326E"/>
    <w:rsid w:val="00DD6611"/>
    <w:rsid w:val="00DF6D58"/>
    <w:rsid w:val="00E0347D"/>
    <w:rsid w:val="00E10EEF"/>
    <w:rsid w:val="00E154A1"/>
    <w:rsid w:val="00E22A76"/>
    <w:rsid w:val="00E45A28"/>
    <w:rsid w:val="00E51A5A"/>
    <w:rsid w:val="00E55986"/>
    <w:rsid w:val="00E560D5"/>
    <w:rsid w:val="00E7708D"/>
    <w:rsid w:val="00EA385C"/>
    <w:rsid w:val="00EA5F04"/>
    <w:rsid w:val="00EB1BB9"/>
    <w:rsid w:val="00EC6DA2"/>
    <w:rsid w:val="00EC7545"/>
    <w:rsid w:val="00ED003E"/>
    <w:rsid w:val="00ED6CF9"/>
    <w:rsid w:val="00EF1BE4"/>
    <w:rsid w:val="00F058B5"/>
    <w:rsid w:val="00F36024"/>
    <w:rsid w:val="00F5101D"/>
    <w:rsid w:val="00F5651D"/>
    <w:rsid w:val="00F57811"/>
    <w:rsid w:val="00F60260"/>
    <w:rsid w:val="00F63A1B"/>
    <w:rsid w:val="00FA4D50"/>
    <w:rsid w:val="00FA5C2E"/>
    <w:rsid w:val="00FC0106"/>
    <w:rsid w:val="00FD0518"/>
    <w:rsid w:val="00FE6C9B"/>
    <w:rsid w:val="00FF2755"/>
    <w:rsid w:val="00FF2887"/>
    <w:rsid w:val="00FF3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7CFE27"/>
  <w15:chartTrackingRefBased/>
  <w15:docId w15:val="{3CE9A184-CF8E-434D-81C7-0C82BE41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B37"/>
    <w:rPr>
      <w:color w:val="0563C1" w:themeColor="hyperlink"/>
      <w:u w:val="single"/>
    </w:rPr>
  </w:style>
  <w:style w:type="paragraph" w:styleId="a4">
    <w:name w:val="header"/>
    <w:basedOn w:val="a"/>
    <w:link w:val="a5"/>
    <w:uiPriority w:val="99"/>
    <w:unhideWhenUsed/>
    <w:rsid w:val="004864A1"/>
    <w:pPr>
      <w:tabs>
        <w:tab w:val="center" w:pos="4252"/>
        <w:tab w:val="right" w:pos="8504"/>
      </w:tabs>
      <w:snapToGrid w:val="0"/>
    </w:pPr>
  </w:style>
  <w:style w:type="character" w:customStyle="1" w:styleId="a5">
    <w:name w:val="ヘッダー (文字)"/>
    <w:basedOn w:val="a0"/>
    <w:link w:val="a4"/>
    <w:uiPriority w:val="99"/>
    <w:rsid w:val="004864A1"/>
  </w:style>
  <w:style w:type="paragraph" w:styleId="a6">
    <w:name w:val="footer"/>
    <w:basedOn w:val="a"/>
    <w:link w:val="a7"/>
    <w:uiPriority w:val="99"/>
    <w:unhideWhenUsed/>
    <w:rsid w:val="004864A1"/>
    <w:pPr>
      <w:tabs>
        <w:tab w:val="center" w:pos="4252"/>
        <w:tab w:val="right" w:pos="8504"/>
      </w:tabs>
      <w:snapToGrid w:val="0"/>
    </w:pPr>
  </w:style>
  <w:style w:type="character" w:customStyle="1" w:styleId="a7">
    <w:name w:val="フッター (文字)"/>
    <w:basedOn w:val="a0"/>
    <w:link w:val="a6"/>
    <w:uiPriority w:val="99"/>
    <w:rsid w:val="004864A1"/>
  </w:style>
  <w:style w:type="paragraph" w:styleId="a8">
    <w:name w:val="footnote text"/>
    <w:aliases w:val="5_G"/>
    <w:basedOn w:val="a"/>
    <w:link w:val="a9"/>
    <w:uiPriority w:val="99"/>
    <w:unhideWhenUsed/>
    <w:rsid w:val="00AB1D57"/>
    <w:pPr>
      <w:widowControl/>
      <w:jc w:val="left"/>
    </w:pPr>
    <w:rPr>
      <w:rFonts w:ascii="Cambria" w:eastAsia="Cambria" w:hAnsi="Cambria" w:cs="Arial"/>
      <w:kern w:val="0"/>
      <w:sz w:val="20"/>
      <w:szCs w:val="20"/>
      <w:lang w:val="en-GB" w:eastAsia="en-US"/>
    </w:rPr>
  </w:style>
  <w:style w:type="character" w:customStyle="1" w:styleId="a9">
    <w:name w:val="脚注文字列 (文字)"/>
    <w:aliases w:val="5_G (文字)"/>
    <w:basedOn w:val="a0"/>
    <w:link w:val="a8"/>
    <w:uiPriority w:val="99"/>
    <w:rsid w:val="00AB1D57"/>
    <w:rPr>
      <w:rFonts w:ascii="Cambria" w:eastAsia="Cambria" w:hAnsi="Cambria" w:cs="Arial"/>
      <w:kern w:val="0"/>
      <w:sz w:val="20"/>
      <w:szCs w:val="20"/>
      <w:lang w:val="en-GB" w:eastAsia="en-US"/>
    </w:rPr>
  </w:style>
  <w:style w:type="character" w:styleId="aa">
    <w:name w:val="footnote reference"/>
    <w:aliases w:val="4_G"/>
    <w:uiPriority w:val="99"/>
    <w:unhideWhenUsed/>
    <w:rsid w:val="00AB1D57"/>
    <w:rPr>
      <w:vertAlign w:val="superscript"/>
    </w:rPr>
  </w:style>
  <w:style w:type="character" w:customStyle="1" w:styleId="apple-converted-space">
    <w:name w:val="apple-converted-space"/>
    <w:rsid w:val="00AB1D57"/>
  </w:style>
  <w:style w:type="character" w:styleId="ab">
    <w:name w:val="FollowedHyperlink"/>
    <w:basedOn w:val="a0"/>
    <w:uiPriority w:val="99"/>
    <w:semiHidden/>
    <w:unhideWhenUsed/>
    <w:rsid w:val="00463085"/>
    <w:rPr>
      <w:color w:val="954F72" w:themeColor="followedHyperlink"/>
      <w:u w:val="single"/>
    </w:rPr>
  </w:style>
  <w:style w:type="paragraph" w:styleId="ac">
    <w:name w:val="List Paragraph"/>
    <w:basedOn w:val="a"/>
    <w:uiPriority w:val="34"/>
    <w:qFormat/>
    <w:rsid w:val="00A97B98"/>
    <w:pPr>
      <w:ind w:leftChars="400" w:left="840"/>
    </w:pPr>
  </w:style>
  <w:style w:type="table" w:styleId="ad">
    <w:name w:val="Table Grid"/>
    <w:basedOn w:val="a1"/>
    <w:uiPriority w:val="39"/>
    <w:rsid w:val="009E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A5C2E"/>
    <w:rPr>
      <w:sz w:val="18"/>
      <w:szCs w:val="18"/>
    </w:rPr>
  </w:style>
  <w:style w:type="paragraph" w:styleId="af">
    <w:name w:val="annotation text"/>
    <w:basedOn w:val="a"/>
    <w:link w:val="af0"/>
    <w:uiPriority w:val="99"/>
    <w:semiHidden/>
    <w:unhideWhenUsed/>
    <w:rsid w:val="00FA5C2E"/>
    <w:pPr>
      <w:jc w:val="left"/>
    </w:pPr>
  </w:style>
  <w:style w:type="character" w:customStyle="1" w:styleId="af0">
    <w:name w:val="コメント文字列 (文字)"/>
    <w:basedOn w:val="a0"/>
    <w:link w:val="af"/>
    <w:uiPriority w:val="99"/>
    <w:semiHidden/>
    <w:rsid w:val="00FA5C2E"/>
  </w:style>
  <w:style w:type="paragraph" w:styleId="af1">
    <w:name w:val="annotation subject"/>
    <w:basedOn w:val="af"/>
    <w:next w:val="af"/>
    <w:link w:val="af2"/>
    <w:uiPriority w:val="99"/>
    <w:semiHidden/>
    <w:unhideWhenUsed/>
    <w:rsid w:val="00FA5C2E"/>
    <w:rPr>
      <w:b/>
      <w:bCs/>
    </w:rPr>
  </w:style>
  <w:style w:type="character" w:customStyle="1" w:styleId="af2">
    <w:name w:val="コメント内容 (文字)"/>
    <w:basedOn w:val="af0"/>
    <w:link w:val="af1"/>
    <w:uiPriority w:val="99"/>
    <w:semiHidden/>
    <w:rsid w:val="00FA5C2E"/>
    <w:rPr>
      <w:b/>
      <w:bCs/>
    </w:rPr>
  </w:style>
  <w:style w:type="paragraph" w:styleId="af3">
    <w:name w:val="Revision"/>
    <w:hidden/>
    <w:uiPriority w:val="99"/>
    <w:semiHidden/>
    <w:rsid w:val="00FA5C2E"/>
  </w:style>
  <w:style w:type="paragraph" w:styleId="af4">
    <w:name w:val="Balloon Text"/>
    <w:basedOn w:val="a"/>
    <w:link w:val="af5"/>
    <w:uiPriority w:val="99"/>
    <w:semiHidden/>
    <w:unhideWhenUsed/>
    <w:rsid w:val="00FA5C2E"/>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FA5C2E"/>
    <w:rPr>
      <w:rFonts w:asciiTheme="majorHAnsi" w:eastAsiaTheme="majorEastAsia" w:hAnsiTheme="majorHAnsi" w:cstheme="majorBidi"/>
      <w:sz w:val="18"/>
      <w:szCs w:val="18"/>
    </w:rPr>
  </w:style>
  <w:style w:type="paragraph" w:customStyle="1" w:styleId="SingleTxt">
    <w:name w:val="__Single Txt"/>
    <w:basedOn w:val="a"/>
    <w:rsid w:val="00300E12"/>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rPr>
      <w:rFonts w:ascii="Times New Roman" w:eastAsia="SimSun" w:hAnsi="Times New Roman" w:cs="Times New Roman"/>
      <w:spacing w:val="4"/>
      <w:w w:val="103"/>
      <w:kern w:val="14"/>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mail:%20tadinomata@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mc/articles/PMC4426935/pdf/rrv0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econstruction.go.jp/english/topics/Progress_to_date/pdf/201611_Current_Status_of_Reconstruction_and_Challenges.pdf" TargetMode="External"/><Relationship Id="rId13" Type="http://schemas.openxmlformats.org/officeDocument/2006/relationships/hyperlink" Target="https://documents-dds-ny.un.org/doc/UNDOC/GEN/N16/410/23/pdf/N1641023.pdf?OpenElement" TargetMode="External"/><Relationship Id="rId3" Type="http://schemas.openxmlformats.org/officeDocument/2006/relationships/hyperlink" Target="http://www.mlit.go.jp/hakusyo/mlit/h22/hakusho/h23/index.html" TargetMode="External"/><Relationship Id="rId7" Type="http://schemas.openxmlformats.org/officeDocument/2006/relationships/hyperlink" Target="http://www.bousai.go.jp/kyoiku/panf/pdf/WP2016_DM_Full_Version.pdf" TargetMode="External"/><Relationship Id="rId12" Type="http://schemas.openxmlformats.org/officeDocument/2006/relationships/hyperlink" Target="http://www.unisdr.org/archive/49885" TargetMode="External"/><Relationship Id="rId2" Type="http://schemas.openxmlformats.org/officeDocument/2006/relationships/hyperlink" Target="http://www.mlit.go.jp/english/white-paper/2010.pdf" TargetMode="External"/><Relationship Id="rId1" Type="http://schemas.openxmlformats.org/officeDocument/2006/relationships/hyperlink" Target="http://www.fdma.go.jp/bn/higaihou_new.html" TargetMode="External"/><Relationship Id="rId6" Type="http://schemas.openxmlformats.org/officeDocument/2006/relationships/hyperlink" Target="http://www.reconstruction.go.jp/topics/main-cat2/sub-cat2-6/20160930_kanrenshi.pdf" TargetMode="External"/><Relationship Id="rId11" Type="http://schemas.openxmlformats.org/officeDocument/2006/relationships/hyperlink" Target="https://collections.unu.edu/eserv/UNU:5758/FGC_Final_Report_EN.pdf" TargetMode="External"/><Relationship Id="rId5" Type="http://schemas.openxmlformats.org/officeDocument/2006/relationships/hyperlink" Target="http://www.pref.fukushima.lg.jp/uploaded/attachment/195323.pdf" TargetMode="External"/><Relationship Id="rId10" Type="http://schemas.openxmlformats.org/officeDocument/2006/relationships/hyperlink" Target="https://www.worldnuclearreport.org/The-World-Nuclear-Industry-Status-Report-2016-HTML.html" TargetMode="External"/><Relationship Id="rId4" Type="http://schemas.openxmlformats.org/officeDocument/2006/relationships/hyperlink" Target="http://www.reconstruction.go.jp/topics/main-cat2/sub-cat2-1/20170228_hinansha.pdf" TargetMode="External"/><Relationship Id="rId9" Type="http://schemas.openxmlformats.org/officeDocument/2006/relationships/hyperlink" Target="http://www.jbaudit.go.jp/pr/kensa/result/27/pdf/270323_zenbun_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0FDA-7EC5-4734-9DE7-D78449C1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3265</Words>
  <Characters>18611</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猪又忠徳</dc:creator>
  <cp:keywords/>
  <dc:description/>
  <cp:lastModifiedBy>猪又忠徳</cp:lastModifiedBy>
  <cp:revision>2</cp:revision>
  <dcterms:created xsi:type="dcterms:W3CDTF">2017-05-18T12:46:00Z</dcterms:created>
  <dcterms:modified xsi:type="dcterms:W3CDTF">2017-05-18T12:46:00Z</dcterms:modified>
</cp:coreProperties>
</file>