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CF598" w14:textId="77777777" w:rsidR="00B5300F" w:rsidRPr="00EA479C" w:rsidRDefault="00B5300F" w:rsidP="00813F61">
      <w:pPr>
        <w:spacing w:after="0"/>
        <w:jc w:val="center"/>
        <w:rPr>
          <w:b/>
          <w:bCs/>
          <w:lang w:val="en-GB"/>
        </w:rPr>
      </w:pPr>
      <w:r w:rsidRPr="00EA479C">
        <w:rPr>
          <w:b/>
          <w:bCs/>
          <w:noProof/>
          <w:lang w:eastAsia="en-US"/>
        </w:rPr>
        <w:drawing>
          <wp:anchor distT="0" distB="0" distL="114300" distR="114300" simplePos="0" relativeHeight="251659264" behindDoc="0" locked="0" layoutInCell="1" allowOverlap="1" wp14:anchorId="6944CE69" wp14:editId="0FAF8B28">
            <wp:simplePos x="0" y="0"/>
            <wp:positionH relativeFrom="column">
              <wp:posOffset>352425</wp:posOffset>
            </wp:positionH>
            <wp:positionV relativeFrom="paragraph">
              <wp:posOffset>-518956</wp:posOffset>
            </wp:positionV>
            <wp:extent cx="5270500" cy="1170305"/>
            <wp:effectExtent l="0" t="0" r="6350" b="0"/>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673F9" w14:textId="77777777" w:rsidR="00B5300F" w:rsidRPr="00EA479C" w:rsidRDefault="00B5300F" w:rsidP="00813F61">
      <w:pPr>
        <w:spacing w:after="0"/>
        <w:jc w:val="center"/>
        <w:rPr>
          <w:b/>
          <w:bCs/>
          <w:lang w:val="en-GB"/>
        </w:rPr>
      </w:pPr>
    </w:p>
    <w:p w14:paraId="711C1AA7" w14:textId="77777777" w:rsidR="00B5300F" w:rsidRPr="00EA479C" w:rsidRDefault="00B5300F" w:rsidP="00813F61">
      <w:pPr>
        <w:spacing w:after="0"/>
        <w:jc w:val="center"/>
        <w:rPr>
          <w:b/>
          <w:bCs/>
          <w:lang w:val="en-GB"/>
        </w:rPr>
      </w:pPr>
    </w:p>
    <w:p w14:paraId="5E377AF7" w14:textId="77777777" w:rsidR="00B5300F" w:rsidRPr="00EA479C" w:rsidRDefault="00B5300F" w:rsidP="00813F61">
      <w:pPr>
        <w:spacing w:after="0"/>
        <w:jc w:val="center"/>
        <w:rPr>
          <w:b/>
          <w:bCs/>
          <w:lang w:val="en-GB"/>
        </w:rPr>
      </w:pPr>
    </w:p>
    <w:p w14:paraId="11755124" w14:textId="77777777" w:rsidR="00156348" w:rsidRPr="00EA479C" w:rsidRDefault="00156348" w:rsidP="00813F61">
      <w:pPr>
        <w:spacing w:after="0"/>
        <w:jc w:val="center"/>
        <w:rPr>
          <w:b/>
          <w:bCs/>
          <w:lang w:val="en-GB"/>
        </w:rPr>
      </w:pPr>
      <w:r w:rsidRPr="00EA479C">
        <w:rPr>
          <w:b/>
          <w:bCs/>
          <w:lang w:val="en-GB"/>
        </w:rPr>
        <w:t xml:space="preserve">Reporting </w:t>
      </w:r>
      <w:r w:rsidR="00BF53A8" w:rsidRPr="00EA479C">
        <w:rPr>
          <w:b/>
          <w:bCs/>
          <w:lang w:val="en-GB"/>
        </w:rPr>
        <w:t xml:space="preserve">for the Chair’ Summary </w:t>
      </w:r>
      <w:r w:rsidR="00813F61" w:rsidRPr="00EA479C">
        <w:rPr>
          <w:b/>
          <w:bCs/>
          <w:lang w:val="en-GB"/>
        </w:rPr>
        <w:t>to be used by Organising Teams</w:t>
      </w:r>
    </w:p>
    <w:p w14:paraId="5CB68BC6" w14:textId="77777777" w:rsidR="00813F61" w:rsidRPr="00EA479C" w:rsidRDefault="00813F61" w:rsidP="00813F61">
      <w:pPr>
        <w:spacing w:after="0"/>
        <w:jc w:val="center"/>
        <w:rPr>
          <w:b/>
          <w:bCs/>
          <w:lang w:val="en-GB"/>
        </w:rPr>
      </w:pPr>
    </w:p>
    <w:p w14:paraId="621CFF86" w14:textId="77777777" w:rsidR="00156348" w:rsidRPr="00EA479C" w:rsidRDefault="00813F61" w:rsidP="00A540C9">
      <w:pPr>
        <w:spacing w:after="0"/>
        <w:ind w:left="1418" w:hanging="1418"/>
        <w:rPr>
          <w:lang w:val="en-GB"/>
        </w:rPr>
      </w:pPr>
      <w:r w:rsidRPr="00EA479C">
        <w:rPr>
          <w:b/>
          <w:bCs/>
          <w:color w:val="FF0000"/>
          <w:sz w:val="20"/>
          <w:szCs w:val="20"/>
          <w:lang w:val="en-GB"/>
        </w:rPr>
        <w:t>Important Note</w:t>
      </w:r>
      <w:r w:rsidR="00D27210" w:rsidRPr="00EA479C">
        <w:rPr>
          <w:b/>
          <w:bCs/>
          <w:color w:val="FF0000"/>
          <w:sz w:val="20"/>
          <w:szCs w:val="20"/>
          <w:lang w:val="en-GB"/>
        </w:rPr>
        <w:t xml:space="preserve">: </w:t>
      </w:r>
      <w:r w:rsidRPr="00EA479C">
        <w:rPr>
          <w:sz w:val="20"/>
          <w:szCs w:val="20"/>
          <w:lang w:val="en-GB"/>
        </w:rPr>
        <w:t xml:space="preserve">The summary needs to be cleared by the Co-chairs of the session BEFORE being circulated to </w:t>
      </w:r>
      <w:r w:rsidR="00D27210" w:rsidRPr="00EA479C">
        <w:rPr>
          <w:sz w:val="20"/>
          <w:szCs w:val="20"/>
          <w:lang w:val="en-GB"/>
        </w:rPr>
        <w:t xml:space="preserve">the </w:t>
      </w:r>
      <w:r w:rsidR="00A540C9" w:rsidRPr="00EA479C">
        <w:rPr>
          <w:sz w:val="20"/>
          <w:szCs w:val="20"/>
          <w:lang w:val="en-GB"/>
        </w:rPr>
        <w:t xml:space="preserve">Chair’s Summary </w:t>
      </w:r>
      <w:r w:rsidR="00D27210" w:rsidRPr="00EA479C">
        <w:rPr>
          <w:sz w:val="20"/>
          <w:szCs w:val="20"/>
          <w:lang w:val="en-GB"/>
        </w:rPr>
        <w:t>drafting team</w:t>
      </w:r>
      <w:r w:rsidR="00A540C9" w:rsidRPr="00EA479C">
        <w:rPr>
          <w:sz w:val="20"/>
          <w:szCs w:val="20"/>
          <w:lang w:val="en-GB"/>
        </w:rPr>
        <w:t xml:space="preserve"> by the UNISDR Focal Point for the session</w:t>
      </w:r>
      <w:r w:rsidR="00D27210" w:rsidRPr="00EA479C">
        <w:rPr>
          <w:sz w:val="20"/>
          <w:szCs w:val="20"/>
          <w:lang w:val="en-GB"/>
        </w:rPr>
        <w:t>.</w:t>
      </w:r>
    </w:p>
    <w:p w14:paraId="0D83944B" w14:textId="77777777" w:rsidR="00813F61" w:rsidRPr="00EA479C" w:rsidRDefault="00813F61" w:rsidP="00813F61">
      <w:pPr>
        <w:spacing w:after="0"/>
        <w:rPr>
          <w:lang w:val="en-GB"/>
        </w:rPr>
      </w:pPr>
    </w:p>
    <w:tbl>
      <w:tblPr>
        <w:tblStyle w:val="TableGrid"/>
        <w:tblW w:w="0" w:type="auto"/>
        <w:tblLook w:val="04A0" w:firstRow="1" w:lastRow="0" w:firstColumn="1" w:lastColumn="0" w:noHBand="0" w:noVBand="1"/>
      </w:tblPr>
      <w:tblGrid>
        <w:gridCol w:w="9243"/>
      </w:tblGrid>
      <w:tr w:rsidR="00156348" w:rsidRPr="00EA479C" w14:paraId="2FF94D41" w14:textId="77777777" w:rsidTr="00EB3EBD">
        <w:tc>
          <w:tcPr>
            <w:tcW w:w="9243" w:type="dxa"/>
            <w:tcBorders>
              <w:top w:val="single" w:sz="4" w:space="0" w:color="auto"/>
              <w:left w:val="single" w:sz="4" w:space="0" w:color="auto"/>
              <w:right w:val="single" w:sz="4" w:space="0" w:color="auto"/>
            </w:tcBorders>
          </w:tcPr>
          <w:p w14:paraId="0BDCC835" w14:textId="77777777" w:rsidR="00156348" w:rsidRPr="00EA479C" w:rsidRDefault="00156348" w:rsidP="00F548AA">
            <w:pPr>
              <w:spacing w:line="276" w:lineRule="auto"/>
              <w:rPr>
                <w:b/>
                <w:sz w:val="20"/>
                <w:szCs w:val="20"/>
                <w:lang w:val="en-GB"/>
              </w:rPr>
            </w:pPr>
            <w:r w:rsidRPr="00EA479C">
              <w:rPr>
                <w:b/>
                <w:sz w:val="20"/>
                <w:szCs w:val="20"/>
                <w:lang w:val="en-GB"/>
              </w:rPr>
              <w:t>Date</w:t>
            </w:r>
          </w:p>
        </w:tc>
      </w:tr>
      <w:tr w:rsidR="00156348" w:rsidRPr="00EA479C" w14:paraId="78A9BFEE" w14:textId="77777777" w:rsidTr="00EB3EBD">
        <w:tc>
          <w:tcPr>
            <w:tcW w:w="9243" w:type="dxa"/>
            <w:tcBorders>
              <w:left w:val="single" w:sz="4" w:space="0" w:color="auto"/>
              <w:bottom w:val="single" w:sz="4" w:space="0" w:color="auto"/>
              <w:right w:val="single" w:sz="4" w:space="0" w:color="auto"/>
            </w:tcBorders>
          </w:tcPr>
          <w:p w14:paraId="0A1592B4" w14:textId="77777777" w:rsidR="00156348" w:rsidRPr="00EA479C" w:rsidRDefault="00B31716" w:rsidP="00156348">
            <w:pPr>
              <w:spacing w:after="200" w:line="276" w:lineRule="auto"/>
              <w:rPr>
                <w:sz w:val="20"/>
                <w:szCs w:val="20"/>
                <w:lang w:val="en-GB"/>
              </w:rPr>
            </w:pPr>
            <w:r w:rsidRPr="00EA479C">
              <w:rPr>
                <w:sz w:val="20"/>
                <w:szCs w:val="20"/>
                <w:lang w:val="en-GB"/>
              </w:rPr>
              <w:t>Thursday 25 May 2017, 17:00-18:30 hrs</w:t>
            </w:r>
          </w:p>
        </w:tc>
      </w:tr>
      <w:tr w:rsidR="00156348" w:rsidRPr="00EA479C" w14:paraId="44011406" w14:textId="77777777" w:rsidTr="00EB3EBD">
        <w:tc>
          <w:tcPr>
            <w:tcW w:w="9243" w:type="dxa"/>
            <w:tcBorders>
              <w:top w:val="single" w:sz="4" w:space="0" w:color="auto"/>
            </w:tcBorders>
          </w:tcPr>
          <w:p w14:paraId="233504AD" w14:textId="77777777" w:rsidR="00156348" w:rsidRPr="00EA479C" w:rsidRDefault="00156348" w:rsidP="00F548AA">
            <w:pPr>
              <w:spacing w:line="276" w:lineRule="auto"/>
              <w:rPr>
                <w:b/>
                <w:sz w:val="20"/>
                <w:szCs w:val="20"/>
                <w:lang w:val="en-GB"/>
              </w:rPr>
            </w:pPr>
            <w:r w:rsidRPr="00EA479C">
              <w:rPr>
                <w:b/>
                <w:sz w:val="20"/>
                <w:szCs w:val="20"/>
                <w:lang w:val="en-GB"/>
              </w:rPr>
              <w:t>Title of the Session</w:t>
            </w:r>
          </w:p>
        </w:tc>
      </w:tr>
      <w:tr w:rsidR="00156348" w:rsidRPr="00EA479C" w14:paraId="1682217B" w14:textId="77777777" w:rsidTr="00EB3EBD">
        <w:tc>
          <w:tcPr>
            <w:tcW w:w="9243" w:type="dxa"/>
          </w:tcPr>
          <w:p w14:paraId="786A0657" w14:textId="77777777" w:rsidR="00156348" w:rsidRPr="00EA479C" w:rsidRDefault="00B31716" w:rsidP="00156348">
            <w:pPr>
              <w:spacing w:after="200" w:line="276" w:lineRule="auto"/>
              <w:rPr>
                <w:sz w:val="20"/>
                <w:szCs w:val="20"/>
                <w:lang w:val="en-GB"/>
              </w:rPr>
            </w:pPr>
            <w:r w:rsidRPr="00EA479C">
              <w:rPr>
                <w:sz w:val="20"/>
                <w:szCs w:val="20"/>
                <w:lang w:val="en-GB"/>
              </w:rPr>
              <w:t>Working Session on Inclusive and People Centred Disaster Risk Reduction</w:t>
            </w:r>
          </w:p>
        </w:tc>
      </w:tr>
      <w:tr w:rsidR="005A5581" w:rsidRPr="00D27210" w14:paraId="624FAFA4" w14:textId="77777777" w:rsidTr="002633E7">
        <w:trPr>
          <w:trHeight w:val="423"/>
        </w:trPr>
        <w:tc>
          <w:tcPr>
            <w:tcW w:w="9243" w:type="dxa"/>
          </w:tcPr>
          <w:p w14:paraId="0BAC0BDC" w14:textId="77777777" w:rsidR="005A5581" w:rsidRPr="00D27210" w:rsidRDefault="005A5581" w:rsidP="002633E7">
            <w:pPr>
              <w:rPr>
                <w:sz w:val="20"/>
                <w:szCs w:val="20"/>
              </w:rPr>
            </w:pPr>
            <w:r w:rsidRPr="0082367B">
              <w:rPr>
                <w:b/>
                <w:bCs/>
                <w:color w:val="FF0000"/>
                <w:sz w:val="20"/>
                <w:szCs w:val="20"/>
              </w:rPr>
              <w:t>R</w:t>
            </w:r>
            <w:bookmarkStart w:id="0" w:name="_GoBack"/>
            <w:bookmarkEnd w:id="0"/>
            <w:r w:rsidRPr="0082367B">
              <w:rPr>
                <w:b/>
                <w:bCs/>
                <w:color w:val="FF0000"/>
                <w:sz w:val="20"/>
                <w:szCs w:val="20"/>
              </w:rPr>
              <w:t>ecording Reference Number</w:t>
            </w:r>
            <w:r>
              <w:rPr>
                <w:sz w:val="20"/>
                <w:szCs w:val="20"/>
              </w:rPr>
              <w:t xml:space="preserve">: </w:t>
            </w:r>
            <w:r w:rsidRPr="001D18C6">
              <w:rPr>
                <w:b/>
                <w:iCs/>
                <w:szCs w:val="16"/>
              </w:rPr>
              <w:t>GP17WS12</w:t>
            </w:r>
          </w:p>
        </w:tc>
      </w:tr>
      <w:tr w:rsidR="00156348" w:rsidRPr="00EA479C" w14:paraId="75C2CDDA" w14:textId="77777777" w:rsidTr="00EB3EBD">
        <w:tc>
          <w:tcPr>
            <w:tcW w:w="9243" w:type="dxa"/>
          </w:tcPr>
          <w:p w14:paraId="194B387D" w14:textId="77777777" w:rsidR="00156348" w:rsidRPr="00EA479C" w:rsidRDefault="00156348" w:rsidP="00F548AA">
            <w:pPr>
              <w:spacing w:line="276" w:lineRule="auto"/>
              <w:rPr>
                <w:b/>
                <w:sz w:val="20"/>
                <w:szCs w:val="20"/>
                <w:lang w:val="en-GB"/>
              </w:rPr>
            </w:pPr>
            <w:r w:rsidRPr="00EA479C">
              <w:rPr>
                <w:b/>
                <w:sz w:val="20"/>
                <w:szCs w:val="20"/>
                <w:lang w:val="en-GB"/>
              </w:rPr>
              <w:t>Name of co-chairs</w:t>
            </w:r>
          </w:p>
        </w:tc>
      </w:tr>
      <w:tr w:rsidR="00156348" w:rsidRPr="00EA479C" w14:paraId="123178C4" w14:textId="77777777" w:rsidTr="00EB3EBD">
        <w:tc>
          <w:tcPr>
            <w:tcW w:w="9243" w:type="dxa"/>
          </w:tcPr>
          <w:p w14:paraId="02BB5ECE" w14:textId="77777777" w:rsidR="005A5581" w:rsidRDefault="005A5581" w:rsidP="00156348">
            <w:pPr>
              <w:spacing w:after="200" w:line="276" w:lineRule="auto"/>
              <w:rPr>
                <w:sz w:val="20"/>
                <w:szCs w:val="20"/>
                <w:lang w:val="en-GB"/>
              </w:rPr>
            </w:pPr>
            <w:r w:rsidRPr="005A5581">
              <w:rPr>
                <w:sz w:val="20"/>
                <w:szCs w:val="20"/>
                <w:lang w:val="en-GB"/>
              </w:rPr>
              <w:t xml:space="preserve">Md. Abul Kalam Azad, Principal Coordinator (SDGS) of the People's Republic of Bangladesh </w:t>
            </w:r>
          </w:p>
          <w:p w14:paraId="7A89C402" w14:textId="6930BDA1" w:rsidR="00B31716" w:rsidRPr="00EA479C" w:rsidRDefault="00B31716" w:rsidP="00156348">
            <w:pPr>
              <w:spacing w:after="200" w:line="276" w:lineRule="auto"/>
              <w:rPr>
                <w:sz w:val="20"/>
                <w:szCs w:val="20"/>
                <w:lang w:val="en-GB"/>
              </w:rPr>
            </w:pPr>
            <w:r w:rsidRPr="00EA479C">
              <w:rPr>
                <w:sz w:val="20"/>
                <w:szCs w:val="20"/>
                <w:lang w:val="en-GB"/>
              </w:rPr>
              <w:t>Dr. Natalia Kanem, Deputy Executive Director for Programmes at UNFPA</w:t>
            </w:r>
          </w:p>
        </w:tc>
      </w:tr>
      <w:tr w:rsidR="00156348" w:rsidRPr="00EA479C" w14:paraId="0E7F2767" w14:textId="77777777" w:rsidTr="00EB3EBD">
        <w:tc>
          <w:tcPr>
            <w:tcW w:w="9243" w:type="dxa"/>
          </w:tcPr>
          <w:p w14:paraId="0EF2AA62" w14:textId="77777777" w:rsidR="00156348" w:rsidRPr="00EA479C" w:rsidRDefault="00156348" w:rsidP="00F548AA">
            <w:pPr>
              <w:spacing w:line="276" w:lineRule="auto"/>
              <w:rPr>
                <w:b/>
                <w:sz w:val="20"/>
                <w:szCs w:val="20"/>
                <w:lang w:val="en-GB"/>
              </w:rPr>
            </w:pPr>
            <w:r w:rsidRPr="00EA479C">
              <w:rPr>
                <w:b/>
                <w:sz w:val="20"/>
                <w:szCs w:val="20"/>
                <w:lang w:val="en-GB"/>
              </w:rPr>
              <w:t>Name of UNISDR Focal Point and sender of this summary report</w:t>
            </w:r>
          </w:p>
        </w:tc>
      </w:tr>
      <w:tr w:rsidR="00156348" w:rsidRPr="00CE71CC" w14:paraId="7E7B402F" w14:textId="77777777" w:rsidTr="00EB3EBD">
        <w:tc>
          <w:tcPr>
            <w:tcW w:w="9243" w:type="dxa"/>
          </w:tcPr>
          <w:p w14:paraId="3F175DEE" w14:textId="77777777" w:rsidR="00156348" w:rsidRPr="003C6B00" w:rsidRDefault="00B31716" w:rsidP="00156348">
            <w:pPr>
              <w:spacing w:after="200" w:line="276" w:lineRule="auto"/>
              <w:rPr>
                <w:sz w:val="20"/>
                <w:szCs w:val="20"/>
                <w:lang w:val="de-DE"/>
              </w:rPr>
            </w:pPr>
            <w:r w:rsidRPr="003C6B00">
              <w:rPr>
                <w:sz w:val="20"/>
                <w:szCs w:val="20"/>
                <w:lang w:val="de-DE"/>
              </w:rPr>
              <w:t>Stefanie Dannenmann-Di Palma, Deputy Head, UNISDR Europe (dannenmann@un.org)</w:t>
            </w:r>
          </w:p>
        </w:tc>
      </w:tr>
      <w:tr w:rsidR="00156348" w:rsidRPr="00EA479C" w14:paraId="7806B489" w14:textId="77777777" w:rsidTr="00EB3EBD">
        <w:tc>
          <w:tcPr>
            <w:tcW w:w="9243" w:type="dxa"/>
          </w:tcPr>
          <w:p w14:paraId="595A4B46" w14:textId="77777777" w:rsidR="00156348" w:rsidRPr="00EA479C" w:rsidRDefault="00156348" w:rsidP="0031791D">
            <w:pPr>
              <w:spacing w:line="276" w:lineRule="auto"/>
              <w:rPr>
                <w:sz w:val="20"/>
                <w:szCs w:val="20"/>
                <w:lang w:val="en-GB"/>
              </w:rPr>
            </w:pPr>
            <w:r w:rsidRPr="00EA479C">
              <w:rPr>
                <w:sz w:val="20"/>
                <w:szCs w:val="20"/>
                <w:lang w:val="en-GB"/>
              </w:rPr>
              <w:t xml:space="preserve">Summary of the main </w:t>
            </w:r>
            <w:r w:rsidR="0031791D" w:rsidRPr="00EA479C">
              <w:rPr>
                <w:b/>
                <w:bCs/>
                <w:color w:val="FF0000"/>
                <w:sz w:val="20"/>
                <w:szCs w:val="20"/>
                <w:lang w:val="en-GB"/>
              </w:rPr>
              <w:t>substantive considerations expressed</w:t>
            </w:r>
            <w:r w:rsidR="00F548AA" w:rsidRPr="00EA479C">
              <w:rPr>
                <w:sz w:val="20"/>
                <w:szCs w:val="20"/>
                <w:lang w:val="en-GB"/>
              </w:rPr>
              <w:t xml:space="preserve">, clustered around the 4 Sendai Priorities and the 5 </w:t>
            </w:r>
            <w:r w:rsidR="00AA6D02" w:rsidRPr="00EA479C">
              <w:rPr>
                <w:sz w:val="20"/>
                <w:szCs w:val="20"/>
                <w:lang w:val="en-GB"/>
              </w:rPr>
              <w:t>a</w:t>
            </w:r>
            <w:r w:rsidR="00F548AA" w:rsidRPr="00EA479C">
              <w:rPr>
                <w:sz w:val="20"/>
                <w:szCs w:val="20"/>
                <w:lang w:val="en-GB"/>
              </w:rPr>
              <w:t>reas of special focus of the Chair’s Summary Skeleton</w:t>
            </w:r>
            <w:r w:rsidR="00FF2645" w:rsidRPr="00EA479C">
              <w:rPr>
                <w:sz w:val="20"/>
                <w:szCs w:val="20"/>
                <w:lang w:val="en-GB"/>
              </w:rPr>
              <w:t>, as applicable</w:t>
            </w:r>
          </w:p>
        </w:tc>
      </w:tr>
      <w:tr w:rsidR="00156348" w:rsidRPr="00EA479C" w14:paraId="6D8B9606" w14:textId="77777777" w:rsidTr="00EB3EBD">
        <w:tc>
          <w:tcPr>
            <w:tcW w:w="9243" w:type="dxa"/>
          </w:tcPr>
          <w:p w14:paraId="3448F27E" w14:textId="77777777" w:rsidR="00156348" w:rsidRPr="00EA479C" w:rsidRDefault="00E07249" w:rsidP="00730450">
            <w:pPr>
              <w:spacing w:line="276" w:lineRule="auto"/>
              <w:rPr>
                <w:i/>
                <w:iCs/>
                <w:sz w:val="20"/>
                <w:szCs w:val="20"/>
                <w:lang w:val="en-GB"/>
              </w:rPr>
            </w:pPr>
            <w:r w:rsidRPr="00EA479C">
              <w:rPr>
                <w:i/>
                <w:iCs/>
                <w:sz w:val="20"/>
                <w:szCs w:val="20"/>
                <w:lang w:val="en-GB"/>
              </w:rPr>
              <w:t>Priority</w:t>
            </w:r>
            <w:r w:rsidR="00730450" w:rsidRPr="00EA479C">
              <w:rPr>
                <w:i/>
                <w:iCs/>
                <w:sz w:val="20"/>
                <w:szCs w:val="20"/>
                <w:lang w:val="en-GB"/>
              </w:rPr>
              <w:t xml:space="preserve"> 1</w:t>
            </w:r>
            <w:r w:rsidR="005D732A" w:rsidRPr="00EA479C">
              <w:rPr>
                <w:i/>
                <w:iCs/>
                <w:sz w:val="20"/>
                <w:szCs w:val="20"/>
                <w:lang w:val="en-GB"/>
              </w:rPr>
              <w:t xml:space="preserve"> </w:t>
            </w:r>
            <w:r w:rsidR="00ED357D" w:rsidRPr="00EA479C">
              <w:rPr>
                <w:i/>
                <w:iCs/>
                <w:sz w:val="20"/>
                <w:szCs w:val="20"/>
                <w:lang w:val="en-GB"/>
              </w:rPr>
              <w:t>–</w:t>
            </w:r>
            <w:r w:rsidR="005D732A" w:rsidRPr="00EA479C">
              <w:rPr>
                <w:i/>
                <w:iCs/>
                <w:sz w:val="20"/>
                <w:szCs w:val="20"/>
                <w:lang w:val="en-GB"/>
              </w:rPr>
              <w:t xml:space="preserve"> </w:t>
            </w:r>
            <w:r w:rsidR="00ED357D" w:rsidRPr="00EA479C">
              <w:rPr>
                <w:i/>
                <w:iCs/>
                <w:sz w:val="20"/>
                <w:szCs w:val="20"/>
                <w:lang w:val="en-GB"/>
              </w:rPr>
              <w:t>Understanding disaster risk</w:t>
            </w:r>
          </w:p>
        </w:tc>
      </w:tr>
      <w:tr w:rsidR="00730450" w:rsidRPr="00EA479C" w14:paraId="79AB7508" w14:textId="77777777" w:rsidTr="00EB3EBD">
        <w:tc>
          <w:tcPr>
            <w:tcW w:w="9243" w:type="dxa"/>
          </w:tcPr>
          <w:p w14:paraId="1F07649C" w14:textId="77777777" w:rsidR="00730450" w:rsidRPr="00EA479C" w:rsidRDefault="00730450" w:rsidP="00730450">
            <w:pPr>
              <w:rPr>
                <w:sz w:val="20"/>
                <w:szCs w:val="20"/>
                <w:lang w:val="en-GB"/>
              </w:rPr>
            </w:pPr>
          </w:p>
        </w:tc>
      </w:tr>
      <w:tr w:rsidR="00730450" w:rsidRPr="00EA479C" w14:paraId="72F6860D" w14:textId="77777777" w:rsidTr="00EB3EBD">
        <w:tc>
          <w:tcPr>
            <w:tcW w:w="9243" w:type="dxa"/>
          </w:tcPr>
          <w:p w14:paraId="41B5B53C" w14:textId="77777777" w:rsidR="00730450" w:rsidRPr="00EA479C" w:rsidRDefault="00730450" w:rsidP="00730450">
            <w:pPr>
              <w:rPr>
                <w:i/>
                <w:iCs/>
                <w:sz w:val="20"/>
                <w:szCs w:val="20"/>
                <w:lang w:val="en-GB"/>
              </w:rPr>
            </w:pPr>
            <w:r w:rsidRPr="00EA479C">
              <w:rPr>
                <w:i/>
                <w:iCs/>
                <w:sz w:val="20"/>
                <w:szCs w:val="20"/>
                <w:lang w:val="en-GB"/>
              </w:rPr>
              <w:t>Priority 2</w:t>
            </w:r>
            <w:r w:rsidR="00ED357D" w:rsidRPr="00EA479C">
              <w:rPr>
                <w:i/>
                <w:iCs/>
                <w:sz w:val="20"/>
                <w:szCs w:val="20"/>
                <w:lang w:val="en-GB"/>
              </w:rPr>
              <w:t xml:space="preserve"> </w:t>
            </w:r>
            <w:r w:rsidR="006E40F9" w:rsidRPr="00EA479C">
              <w:rPr>
                <w:i/>
                <w:iCs/>
                <w:sz w:val="20"/>
                <w:szCs w:val="20"/>
                <w:lang w:val="en-GB"/>
              </w:rPr>
              <w:t>–</w:t>
            </w:r>
            <w:r w:rsidR="00ED357D" w:rsidRPr="00EA479C">
              <w:rPr>
                <w:i/>
                <w:iCs/>
                <w:sz w:val="20"/>
                <w:szCs w:val="20"/>
                <w:lang w:val="en-GB"/>
              </w:rPr>
              <w:t xml:space="preserve"> </w:t>
            </w:r>
            <w:r w:rsidR="006E40F9" w:rsidRPr="00EA479C">
              <w:rPr>
                <w:i/>
                <w:iCs/>
                <w:sz w:val="20"/>
                <w:szCs w:val="20"/>
                <w:lang w:val="en-GB"/>
              </w:rPr>
              <w:t>Strengthening disaster risk governance to manage disaster risk</w:t>
            </w:r>
          </w:p>
        </w:tc>
      </w:tr>
      <w:tr w:rsidR="00730450" w:rsidRPr="00EA479C" w14:paraId="6489271E" w14:textId="77777777" w:rsidTr="00EB3EBD">
        <w:tc>
          <w:tcPr>
            <w:tcW w:w="9243" w:type="dxa"/>
          </w:tcPr>
          <w:p w14:paraId="768196F5" w14:textId="77777777" w:rsidR="00730450" w:rsidRPr="00EA479C" w:rsidRDefault="00730450" w:rsidP="00730450">
            <w:pPr>
              <w:rPr>
                <w:sz w:val="20"/>
                <w:szCs w:val="20"/>
                <w:lang w:val="en-GB"/>
              </w:rPr>
            </w:pPr>
          </w:p>
        </w:tc>
      </w:tr>
      <w:tr w:rsidR="00730450" w:rsidRPr="00EA479C" w14:paraId="51AF90EA" w14:textId="77777777" w:rsidTr="00EB3EBD">
        <w:tc>
          <w:tcPr>
            <w:tcW w:w="9243" w:type="dxa"/>
          </w:tcPr>
          <w:p w14:paraId="7CAE9C50" w14:textId="77777777" w:rsidR="00730450" w:rsidRPr="00EA479C" w:rsidRDefault="00730450" w:rsidP="00730450">
            <w:pPr>
              <w:rPr>
                <w:i/>
                <w:iCs/>
                <w:sz w:val="20"/>
                <w:szCs w:val="20"/>
                <w:lang w:val="en-GB"/>
              </w:rPr>
            </w:pPr>
            <w:r w:rsidRPr="00EA479C">
              <w:rPr>
                <w:i/>
                <w:iCs/>
                <w:sz w:val="20"/>
                <w:szCs w:val="20"/>
                <w:lang w:val="en-GB"/>
              </w:rPr>
              <w:t>Priority 3</w:t>
            </w:r>
            <w:r w:rsidR="009F1DB8" w:rsidRPr="00EA479C">
              <w:rPr>
                <w:i/>
                <w:iCs/>
                <w:sz w:val="20"/>
                <w:szCs w:val="20"/>
                <w:lang w:val="en-GB"/>
              </w:rPr>
              <w:t xml:space="preserve"> – Investing in disaster risk reduction for resilience </w:t>
            </w:r>
          </w:p>
        </w:tc>
      </w:tr>
      <w:tr w:rsidR="00730450" w:rsidRPr="00EA479C" w14:paraId="4714F88A" w14:textId="77777777" w:rsidTr="00EB3EBD">
        <w:tc>
          <w:tcPr>
            <w:tcW w:w="9243" w:type="dxa"/>
          </w:tcPr>
          <w:p w14:paraId="5757318E" w14:textId="77777777" w:rsidR="00730450" w:rsidRPr="00EA479C" w:rsidRDefault="00730450" w:rsidP="00730450">
            <w:pPr>
              <w:rPr>
                <w:sz w:val="20"/>
                <w:szCs w:val="20"/>
                <w:lang w:val="en-GB"/>
              </w:rPr>
            </w:pPr>
          </w:p>
        </w:tc>
      </w:tr>
      <w:tr w:rsidR="00730450" w:rsidRPr="00EA479C" w14:paraId="44BF10B2" w14:textId="77777777" w:rsidTr="00EB3EBD">
        <w:tc>
          <w:tcPr>
            <w:tcW w:w="9243" w:type="dxa"/>
          </w:tcPr>
          <w:p w14:paraId="0A8FABD0" w14:textId="77777777" w:rsidR="00730450" w:rsidRPr="00EA479C" w:rsidRDefault="00730450" w:rsidP="00730450">
            <w:pPr>
              <w:rPr>
                <w:i/>
                <w:iCs/>
                <w:sz w:val="20"/>
                <w:szCs w:val="20"/>
                <w:lang w:val="en-GB"/>
              </w:rPr>
            </w:pPr>
            <w:r w:rsidRPr="00EA479C">
              <w:rPr>
                <w:i/>
                <w:iCs/>
                <w:sz w:val="20"/>
                <w:szCs w:val="20"/>
                <w:lang w:val="en-GB"/>
              </w:rPr>
              <w:t>Priority 4</w:t>
            </w:r>
            <w:r w:rsidR="009F1DB8" w:rsidRPr="00EA479C">
              <w:rPr>
                <w:i/>
                <w:iCs/>
                <w:sz w:val="20"/>
                <w:szCs w:val="20"/>
                <w:lang w:val="en-GB"/>
              </w:rPr>
              <w:t xml:space="preserve"> </w:t>
            </w:r>
            <w:r w:rsidR="00CD1CE1" w:rsidRPr="00EA479C">
              <w:rPr>
                <w:i/>
                <w:iCs/>
                <w:sz w:val="20"/>
                <w:szCs w:val="20"/>
                <w:lang w:val="en-GB"/>
              </w:rPr>
              <w:t>–</w:t>
            </w:r>
            <w:r w:rsidR="009F1DB8" w:rsidRPr="00EA479C">
              <w:rPr>
                <w:i/>
                <w:iCs/>
                <w:sz w:val="20"/>
                <w:szCs w:val="20"/>
                <w:lang w:val="en-GB"/>
              </w:rPr>
              <w:t xml:space="preserve"> </w:t>
            </w:r>
            <w:r w:rsidR="00CD1CE1" w:rsidRPr="00EA479C">
              <w:rPr>
                <w:i/>
                <w:iCs/>
                <w:sz w:val="20"/>
                <w:szCs w:val="20"/>
                <w:lang w:val="en-GB"/>
              </w:rPr>
              <w:t xml:space="preserve">Enhancing disaster preparedness for effective response and to “Build Back Better” in recovery, rehabilitation and reconstruction </w:t>
            </w:r>
          </w:p>
        </w:tc>
      </w:tr>
      <w:tr w:rsidR="00730450" w:rsidRPr="00EA479C" w14:paraId="4F4A6380" w14:textId="77777777" w:rsidTr="00EB3EBD">
        <w:tc>
          <w:tcPr>
            <w:tcW w:w="9243" w:type="dxa"/>
          </w:tcPr>
          <w:p w14:paraId="70F0571A" w14:textId="77777777" w:rsidR="00730450" w:rsidRPr="00EA479C" w:rsidRDefault="00730450" w:rsidP="00730450">
            <w:pPr>
              <w:rPr>
                <w:sz w:val="20"/>
                <w:szCs w:val="20"/>
                <w:lang w:val="en-GB"/>
              </w:rPr>
            </w:pPr>
          </w:p>
        </w:tc>
      </w:tr>
      <w:tr w:rsidR="008512BA" w:rsidRPr="00EA479C" w14:paraId="412EF57C" w14:textId="77777777" w:rsidTr="00EB3EBD">
        <w:tc>
          <w:tcPr>
            <w:tcW w:w="9243" w:type="dxa"/>
          </w:tcPr>
          <w:p w14:paraId="73D8046E" w14:textId="77777777" w:rsidR="008512BA" w:rsidRPr="00EA479C" w:rsidRDefault="008512BA" w:rsidP="00730450">
            <w:pPr>
              <w:rPr>
                <w:i/>
                <w:sz w:val="20"/>
                <w:szCs w:val="20"/>
                <w:lang w:val="en-GB"/>
              </w:rPr>
            </w:pPr>
            <w:r w:rsidRPr="00EA479C">
              <w:rPr>
                <w:i/>
                <w:sz w:val="20"/>
                <w:szCs w:val="20"/>
                <w:lang w:val="en-GB"/>
              </w:rPr>
              <w:t>Areas of Special Focus</w:t>
            </w:r>
          </w:p>
        </w:tc>
      </w:tr>
      <w:tr w:rsidR="00730450" w:rsidRPr="00EA479C" w14:paraId="41E13DD4" w14:textId="77777777" w:rsidTr="00EB3EBD">
        <w:tc>
          <w:tcPr>
            <w:tcW w:w="9243" w:type="dxa"/>
          </w:tcPr>
          <w:p w14:paraId="418C63E6" w14:textId="77777777" w:rsidR="00730450" w:rsidRPr="00EA479C" w:rsidRDefault="00107B27" w:rsidP="00107B27">
            <w:pPr>
              <w:pStyle w:val="ListParagraph"/>
              <w:numPr>
                <w:ilvl w:val="0"/>
                <w:numId w:val="2"/>
              </w:numPr>
              <w:rPr>
                <w:sz w:val="20"/>
                <w:szCs w:val="20"/>
                <w:lang w:val="en-GB"/>
              </w:rPr>
            </w:pPr>
            <w:r w:rsidRPr="00EA479C">
              <w:rPr>
                <w:sz w:val="20"/>
                <w:szCs w:val="20"/>
                <w:lang w:val="en-GB"/>
              </w:rPr>
              <w:t>Monitoring the Sendai Framework implementation</w:t>
            </w:r>
          </w:p>
        </w:tc>
      </w:tr>
      <w:tr w:rsidR="00107B27" w:rsidRPr="00EA479C" w14:paraId="21BBA298" w14:textId="77777777" w:rsidTr="00EB3EBD">
        <w:tc>
          <w:tcPr>
            <w:tcW w:w="9243" w:type="dxa"/>
          </w:tcPr>
          <w:p w14:paraId="11864E28" w14:textId="77777777" w:rsidR="00B1486A" w:rsidRPr="00EA479C" w:rsidRDefault="00B1486A" w:rsidP="00D7650D">
            <w:pPr>
              <w:pStyle w:val="ListParagraph"/>
              <w:ind w:left="337"/>
              <w:rPr>
                <w:sz w:val="20"/>
                <w:szCs w:val="20"/>
                <w:lang w:val="en-GB"/>
              </w:rPr>
            </w:pPr>
            <w:r w:rsidRPr="00EA479C">
              <w:rPr>
                <w:sz w:val="20"/>
                <w:szCs w:val="20"/>
                <w:lang w:val="en-GB"/>
              </w:rPr>
              <w:t xml:space="preserve">Ensuring inclusive and people-centred disaster risk reduction through Sendai Framework monitoring and evaluation mechanisms is </w:t>
            </w:r>
            <w:r>
              <w:rPr>
                <w:sz w:val="20"/>
                <w:szCs w:val="20"/>
                <w:lang w:val="en-GB"/>
              </w:rPr>
              <w:t>key to</w:t>
            </w:r>
            <w:r w:rsidRPr="00EA479C">
              <w:rPr>
                <w:sz w:val="20"/>
                <w:szCs w:val="20"/>
                <w:lang w:val="en-GB"/>
              </w:rPr>
              <w:t xml:space="preserve"> protecting the well</w:t>
            </w:r>
            <w:r>
              <w:rPr>
                <w:sz w:val="20"/>
                <w:szCs w:val="20"/>
                <w:lang w:val="en-GB"/>
              </w:rPr>
              <w:t>-</w:t>
            </w:r>
            <w:r w:rsidRPr="00EA479C">
              <w:rPr>
                <w:sz w:val="20"/>
                <w:szCs w:val="20"/>
                <w:lang w:val="en-GB"/>
              </w:rPr>
              <w:t xml:space="preserve">being of high-risk communities. Further collection and analysis of local and regional data disaggregated by age, sex, disability and mobility status is imperative in understanding the impact of inclusive governance, and creating accountability to marginalised groups. </w:t>
            </w:r>
          </w:p>
          <w:p w14:paraId="790DCE98" w14:textId="77777777" w:rsidR="00107B27" w:rsidRPr="00EA479C" w:rsidRDefault="00107B27" w:rsidP="00730450">
            <w:pPr>
              <w:rPr>
                <w:sz w:val="20"/>
                <w:szCs w:val="20"/>
                <w:lang w:val="en-GB"/>
              </w:rPr>
            </w:pPr>
          </w:p>
        </w:tc>
      </w:tr>
      <w:tr w:rsidR="00E07249" w:rsidRPr="00EA479C" w14:paraId="1DEA6D21" w14:textId="77777777" w:rsidTr="00EB3EBD">
        <w:tc>
          <w:tcPr>
            <w:tcW w:w="9243" w:type="dxa"/>
          </w:tcPr>
          <w:p w14:paraId="365960FC" w14:textId="77777777" w:rsidR="00E07249" w:rsidRPr="00EA479C" w:rsidRDefault="00B756C0" w:rsidP="00107B27">
            <w:pPr>
              <w:pStyle w:val="ListParagraph"/>
              <w:numPr>
                <w:ilvl w:val="0"/>
                <w:numId w:val="2"/>
              </w:numPr>
              <w:rPr>
                <w:sz w:val="20"/>
                <w:szCs w:val="20"/>
                <w:lang w:val="en-GB"/>
              </w:rPr>
            </w:pPr>
            <w:r w:rsidRPr="00EA479C">
              <w:rPr>
                <w:sz w:val="20"/>
                <w:szCs w:val="20"/>
                <w:lang w:val="en-GB"/>
              </w:rPr>
              <w:t xml:space="preserve">Achieving target E </w:t>
            </w:r>
            <w:r w:rsidR="008701CF" w:rsidRPr="00EA479C">
              <w:rPr>
                <w:sz w:val="20"/>
                <w:szCs w:val="20"/>
                <w:lang w:val="en-GB"/>
              </w:rPr>
              <w:t>–</w:t>
            </w:r>
            <w:r w:rsidR="0068363A" w:rsidRPr="00EA479C">
              <w:rPr>
                <w:sz w:val="20"/>
                <w:szCs w:val="20"/>
                <w:lang w:val="en-GB"/>
              </w:rPr>
              <w:t xml:space="preserve"> </w:t>
            </w:r>
            <w:r w:rsidR="008701CF" w:rsidRPr="00EA479C">
              <w:rPr>
                <w:sz w:val="20"/>
                <w:szCs w:val="20"/>
                <w:lang w:val="en-GB"/>
              </w:rPr>
              <w:t xml:space="preserve">Substantively increase </w:t>
            </w:r>
            <w:r w:rsidR="00070191" w:rsidRPr="00EA479C">
              <w:rPr>
                <w:sz w:val="20"/>
                <w:szCs w:val="20"/>
                <w:lang w:val="en-GB"/>
              </w:rPr>
              <w:t xml:space="preserve">the number of countries with national and local </w:t>
            </w:r>
            <w:r w:rsidR="00065E2A" w:rsidRPr="00EA479C">
              <w:rPr>
                <w:sz w:val="20"/>
                <w:szCs w:val="20"/>
                <w:lang w:val="en-GB"/>
              </w:rPr>
              <w:t>disaster risk reduction strategies by 2020</w:t>
            </w:r>
          </w:p>
        </w:tc>
      </w:tr>
      <w:tr w:rsidR="00107B27" w:rsidRPr="00EA479C" w14:paraId="73B05454" w14:textId="77777777" w:rsidTr="00EB3EBD">
        <w:tc>
          <w:tcPr>
            <w:tcW w:w="9243" w:type="dxa"/>
          </w:tcPr>
          <w:p w14:paraId="45694CB3" w14:textId="77777777" w:rsidR="00107B27" w:rsidRPr="00EA479C" w:rsidRDefault="00107B27" w:rsidP="008418D3">
            <w:pPr>
              <w:pStyle w:val="ListParagraph"/>
              <w:rPr>
                <w:sz w:val="20"/>
                <w:szCs w:val="20"/>
                <w:lang w:val="en-GB"/>
              </w:rPr>
            </w:pPr>
          </w:p>
        </w:tc>
      </w:tr>
      <w:tr w:rsidR="00107B27" w:rsidRPr="00EA479C" w14:paraId="6CC0F286" w14:textId="77777777" w:rsidTr="00EB3EBD">
        <w:tc>
          <w:tcPr>
            <w:tcW w:w="9243" w:type="dxa"/>
          </w:tcPr>
          <w:p w14:paraId="4EA00A88" w14:textId="77777777" w:rsidR="00107B27" w:rsidRPr="00EA479C" w:rsidRDefault="008418D3" w:rsidP="008418D3">
            <w:pPr>
              <w:pStyle w:val="ListParagraph"/>
              <w:numPr>
                <w:ilvl w:val="0"/>
                <w:numId w:val="2"/>
              </w:numPr>
              <w:rPr>
                <w:sz w:val="20"/>
                <w:szCs w:val="20"/>
                <w:lang w:val="en-GB"/>
              </w:rPr>
            </w:pPr>
            <w:r w:rsidRPr="00EA479C">
              <w:rPr>
                <w:sz w:val="20"/>
                <w:szCs w:val="20"/>
                <w:lang w:val="en-GB"/>
              </w:rPr>
              <w:t>Coherence with the sustainable development and climate change agendas</w:t>
            </w:r>
          </w:p>
        </w:tc>
      </w:tr>
      <w:tr w:rsidR="008418D3" w:rsidRPr="00EA479C" w14:paraId="3FB83F70" w14:textId="77777777" w:rsidTr="00EB3EBD">
        <w:tc>
          <w:tcPr>
            <w:tcW w:w="9243" w:type="dxa"/>
          </w:tcPr>
          <w:p w14:paraId="4124E6D5" w14:textId="77777777" w:rsidR="008418D3" w:rsidRPr="00EA479C" w:rsidRDefault="008418D3" w:rsidP="008418D3">
            <w:pPr>
              <w:pStyle w:val="ListParagraph"/>
              <w:rPr>
                <w:sz w:val="20"/>
                <w:szCs w:val="20"/>
                <w:lang w:val="en-GB"/>
              </w:rPr>
            </w:pPr>
          </w:p>
        </w:tc>
      </w:tr>
    </w:tbl>
    <w:p w14:paraId="1A667F29" w14:textId="77777777" w:rsidR="00EA479C" w:rsidRDefault="00EA479C">
      <w:r>
        <w:br w:type="page"/>
      </w:r>
    </w:p>
    <w:tbl>
      <w:tblPr>
        <w:tblStyle w:val="TableGrid"/>
        <w:tblW w:w="0" w:type="auto"/>
        <w:tblLook w:val="04A0" w:firstRow="1" w:lastRow="0" w:firstColumn="1" w:lastColumn="0" w:noHBand="0" w:noVBand="1"/>
      </w:tblPr>
      <w:tblGrid>
        <w:gridCol w:w="9243"/>
      </w:tblGrid>
      <w:tr w:rsidR="008418D3" w:rsidRPr="00EA479C" w14:paraId="663FE629" w14:textId="77777777" w:rsidTr="00EB3EBD">
        <w:tc>
          <w:tcPr>
            <w:tcW w:w="9243" w:type="dxa"/>
          </w:tcPr>
          <w:p w14:paraId="692908B5" w14:textId="77777777" w:rsidR="008418D3" w:rsidRPr="00EA479C" w:rsidRDefault="00720F79" w:rsidP="00187F4C">
            <w:pPr>
              <w:pStyle w:val="ListParagraph"/>
              <w:numPr>
                <w:ilvl w:val="0"/>
                <w:numId w:val="2"/>
              </w:numPr>
              <w:rPr>
                <w:sz w:val="20"/>
                <w:szCs w:val="20"/>
                <w:lang w:val="en-GB"/>
              </w:rPr>
            </w:pPr>
            <w:r w:rsidRPr="00EA479C">
              <w:rPr>
                <w:sz w:val="20"/>
                <w:szCs w:val="20"/>
                <w:lang w:val="en-GB"/>
              </w:rPr>
              <w:lastRenderedPageBreak/>
              <w:t>Gender</w:t>
            </w:r>
            <w:r w:rsidR="001D6461" w:rsidRPr="00EA479C">
              <w:rPr>
                <w:sz w:val="20"/>
                <w:szCs w:val="20"/>
                <w:lang w:val="en-GB"/>
              </w:rPr>
              <w:t xml:space="preserve">-sensitive </w:t>
            </w:r>
            <w:r w:rsidR="00187F4C" w:rsidRPr="00EA479C">
              <w:rPr>
                <w:sz w:val="20"/>
                <w:szCs w:val="20"/>
                <w:lang w:val="en-GB"/>
              </w:rPr>
              <w:t xml:space="preserve">and inclusive </w:t>
            </w:r>
            <w:r w:rsidR="001D6461" w:rsidRPr="00EA479C">
              <w:rPr>
                <w:sz w:val="20"/>
                <w:szCs w:val="20"/>
                <w:lang w:val="en-GB"/>
              </w:rPr>
              <w:t>disaster r</w:t>
            </w:r>
            <w:r w:rsidR="003C2F14" w:rsidRPr="00EA479C">
              <w:rPr>
                <w:sz w:val="20"/>
                <w:szCs w:val="20"/>
                <w:lang w:val="en-GB"/>
              </w:rPr>
              <w:t>isk r</w:t>
            </w:r>
            <w:r w:rsidRPr="00EA479C">
              <w:rPr>
                <w:sz w:val="20"/>
                <w:szCs w:val="20"/>
                <w:lang w:val="en-GB"/>
              </w:rPr>
              <w:t>eduction</w:t>
            </w:r>
          </w:p>
        </w:tc>
      </w:tr>
      <w:tr w:rsidR="008418D3" w:rsidRPr="00EA479C" w14:paraId="56F66763" w14:textId="77777777" w:rsidTr="00EB3EBD">
        <w:tc>
          <w:tcPr>
            <w:tcW w:w="9243" w:type="dxa"/>
          </w:tcPr>
          <w:p w14:paraId="3C6DAE01" w14:textId="4880FBC0" w:rsidR="00E30E54" w:rsidRPr="0091023D" w:rsidRDefault="00AF7998" w:rsidP="00AF7998">
            <w:pPr>
              <w:pStyle w:val="ListParagraph"/>
              <w:numPr>
                <w:ilvl w:val="0"/>
                <w:numId w:val="6"/>
              </w:numPr>
              <w:ind w:left="337"/>
              <w:rPr>
                <w:sz w:val="20"/>
                <w:szCs w:val="20"/>
                <w:lang w:val="en-GB"/>
              </w:rPr>
            </w:pPr>
            <w:r>
              <w:rPr>
                <w:sz w:val="20"/>
                <w:szCs w:val="20"/>
              </w:rPr>
              <w:t>T</w:t>
            </w:r>
            <w:r w:rsidR="004E27AF" w:rsidRPr="00EA479C">
              <w:rPr>
                <w:sz w:val="20"/>
                <w:szCs w:val="20"/>
                <w:lang w:val="en-GB"/>
              </w:rPr>
              <w:t>he working session</w:t>
            </w:r>
            <w:r w:rsidRPr="00EA479C">
              <w:rPr>
                <w:sz w:val="20"/>
                <w:szCs w:val="20"/>
                <w:lang w:val="en-GB"/>
              </w:rPr>
              <w:t xml:space="preserve"> highlighted</w:t>
            </w:r>
            <w:r w:rsidR="004E27AF" w:rsidRPr="00EA479C">
              <w:rPr>
                <w:sz w:val="20"/>
                <w:szCs w:val="20"/>
                <w:lang w:val="en-GB"/>
              </w:rPr>
              <w:t xml:space="preserve"> the </w:t>
            </w:r>
            <w:r w:rsidR="00EB02E4" w:rsidRPr="00EA479C">
              <w:rPr>
                <w:sz w:val="20"/>
                <w:szCs w:val="20"/>
                <w:lang w:val="en-GB"/>
              </w:rPr>
              <w:t xml:space="preserve">importance of understanding the risk </w:t>
            </w:r>
            <w:r>
              <w:rPr>
                <w:sz w:val="20"/>
                <w:szCs w:val="20"/>
                <w:lang w:val="en-GB"/>
              </w:rPr>
              <w:t>faced by</w:t>
            </w:r>
            <w:r w:rsidR="00EB02E4" w:rsidRPr="00EA479C">
              <w:rPr>
                <w:sz w:val="20"/>
                <w:szCs w:val="20"/>
                <w:lang w:val="en-GB"/>
              </w:rPr>
              <w:t xml:space="preserve"> children and youth</w:t>
            </w:r>
            <w:r w:rsidR="004E27AF" w:rsidRPr="00EA479C">
              <w:rPr>
                <w:sz w:val="20"/>
                <w:szCs w:val="20"/>
                <w:lang w:val="en-GB"/>
              </w:rPr>
              <w:t xml:space="preserve"> when developing national strategies but at the same time to build on their capacities</w:t>
            </w:r>
            <w:r w:rsidR="00EB02E4" w:rsidRPr="00E8327F">
              <w:rPr>
                <w:sz w:val="20"/>
                <w:szCs w:val="20"/>
                <w:lang w:val="en-GB"/>
              </w:rPr>
              <w:t xml:space="preserve">. </w:t>
            </w:r>
            <w:r w:rsidR="004E27AF" w:rsidRPr="00E8327F">
              <w:rPr>
                <w:sz w:val="20"/>
                <w:szCs w:val="20"/>
                <w:lang w:val="en-GB"/>
              </w:rPr>
              <w:t xml:space="preserve">The example of </w:t>
            </w:r>
            <w:r w:rsidR="00EB02E4" w:rsidRPr="00E8327F">
              <w:rPr>
                <w:sz w:val="20"/>
                <w:szCs w:val="20"/>
                <w:lang w:val="en-GB"/>
              </w:rPr>
              <w:t>Indonesia</w:t>
            </w:r>
            <w:r w:rsidR="004E27AF" w:rsidRPr="00EA479C">
              <w:rPr>
                <w:sz w:val="20"/>
                <w:szCs w:val="20"/>
                <w:lang w:val="en-GB"/>
              </w:rPr>
              <w:t xml:space="preserve"> highlighted the successful </w:t>
            </w:r>
            <w:r w:rsidR="00EB02E4" w:rsidRPr="00EA479C">
              <w:rPr>
                <w:sz w:val="20"/>
                <w:szCs w:val="20"/>
                <w:lang w:val="en-GB"/>
              </w:rPr>
              <w:t>mainstreaming</w:t>
            </w:r>
            <w:r w:rsidR="004E27AF" w:rsidRPr="00EA479C">
              <w:rPr>
                <w:sz w:val="20"/>
                <w:szCs w:val="20"/>
                <w:lang w:val="en-GB"/>
              </w:rPr>
              <w:t xml:space="preserve"> of</w:t>
            </w:r>
            <w:r w:rsidR="00EB02E4" w:rsidRPr="00EA479C">
              <w:rPr>
                <w:sz w:val="20"/>
                <w:szCs w:val="20"/>
                <w:lang w:val="en-GB"/>
              </w:rPr>
              <w:t xml:space="preserve"> child-centred climate change and disaster risk assessments (referred to as APIFA) within existing and new programmes (</w:t>
            </w:r>
            <w:r w:rsidR="004E27AF" w:rsidRPr="00EA479C">
              <w:rPr>
                <w:sz w:val="20"/>
                <w:szCs w:val="20"/>
                <w:lang w:val="en-GB"/>
              </w:rPr>
              <w:t>e.g.</w:t>
            </w:r>
            <w:r w:rsidR="00EB02E4" w:rsidRPr="00EA479C">
              <w:rPr>
                <w:sz w:val="20"/>
                <w:szCs w:val="20"/>
                <w:lang w:val="en-GB"/>
              </w:rPr>
              <w:t xml:space="preserve"> Family resilient programme, safe schools, ‘resilient village’, ‘child-friendly village’ and ‘child friendly district/city’ programmes).</w:t>
            </w:r>
          </w:p>
          <w:p w14:paraId="2192F54D" w14:textId="77777777" w:rsidR="00A56531" w:rsidRPr="00EA479C" w:rsidRDefault="00A56531" w:rsidP="00A56531">
            <w:pPr>
              <w:rPr>
                <w:sz w:val="20"/>
                <w:szCs w:val="20"/>
                <w:lang w:val="en-GB"/>
              </w:rPr>
            </w:pPr>
          </w:p>
          <w:p w14:paraId="1DD96005" w14:textId="77777777" w:rsidR="00A56531" w:rsidRPr="00EA479C" w:rsidRDefault="00A56531" w:rsidP="00A56531">
            <w:pPr>
              <w:pStyle w:val="ListParagraph"/>
              <w:numPr>
                <w:ilvl w:val="0"/>
                <w:numId w:val="6"/>
              </w:numPr>
              <w:ind w:left="337"/>
              <w:rPr>
                <w:sz w:val="20"/>
                <w:szCs w:val="20"/>
                <w:lang w:val="en-GB"/>
              </w:rPr>
            </w:pPr>
            <w:r w:rsidRPr="00EA479C">
              <w:rPr>
                <w:sz w:val="20"/>
                <w:szCs w:val="20"/>
                <w:lang w:val="en-GB"/>
              </w:rPr>
              <w:t>Achieving inclusion for all requires a multi-action systems approach. For inclusion to become a lived reality, three in</w:t>
            </w:r>
            <w:r w:rsidR="004E27AF" w:rsidRPr="00EA479C">
              <w:rPr>
                <w:sz w:val="20"/>
                <w:szCs w:val="20"/>
                <w:lang w:val="en-GB"/>
              </w:rPr>
              <w:t>terconnected actions are needed</w:t>
            </w:r>
            <w:r w:rsidRPr="00EA479C">
              <w:rPr>
                <w:sz w:val="20"/>
                <w:szCs w:val="20"/>
                <w:lang w:val="en-GB"/>
              </w:rPr>
              <w:t xml:space="preserve">:  1) building knowledge &amp; skills, 2) changing attitudes and belief systems, and 3) promoting inclusive governance.  These will engage marginalised populations and supporting organisations as co-producers of risk solutions. </w:t>
            </w:r>
          </w:p>
          <w:p w14:paraId="468AA6AF" w14:textId="77777777" w:rsidR="00C845C4" w:rsidRPr="00D7650D" w:rsidRDefault="00C845C4" w:rsidP="00D7650D">
            <w:pPr>
              <w:rPr>
                <w:sz w:val="20"/>
                <w:szCs w:val="20"/>
                <w:lang w:val="en-GB"/>
              </w:rPr>
            </w:pPr>
          </w:p>
          <w:p w14:paraId="502974E5" w14:textId="336834E4" w:rsidR="008418D3" w:rsidRPr="00D7650D" w:rsidRDefault="00334B73" w:rsidP="00D7650D">
            <w:pPr>
              <w:pStyle w:val="ListParagraph"/>
              <w:numPr>
                <w:ilvl w:val="0"/>
                <w:numId w:val="6"/>
              </w:numPr>
              <w:ind w:left="337"/>
              <w:rPr>
                <w:sz w:val="20"/>
                <w:szCs w:val="20"/>
                <w:lang w:val="en-GB"/>
              </w:rPr>
            </w:pPr>
            <w:r>
              <w:rPr>
                <w:sz w:val="20"/>
                <w:szCs w:val="20"/>
                <w:lang w:val="en-GB"/>
              </w:rPr>
              <w:t xml:space="preserve">Increase the availability and use </w:t>
            </w:r>
            <w:r w:rsidR="00EB02E4" w:rsidRPr="00EA479C">
              <w:rPr>
                <w:sz w:val="20"/>
                <w:szCs w:val="20"/>
                <w:lang w:val="en-GB"/>
              </w:rPr>
              <w:t xml:space="preserve">of data to inform public policy, measure and report </w:t>
            </w:r>
            <w:r w:rsidR="00AF7998">
              <w:rPr>
                <w:sz w:val="20"/>
                <w:szCs w:val="20"/>
                <w:lang w:val="en-GB"/>
              </w:rPr>
              <w:t>d</w:t>
            </w:r>
            <w:r w:rsidR="00EB02E4" w:rsidRPr="00EA479C">
              <w:rPr>
                <w:sz w:val="20"/>
                <w:szCs w:val="20"/>
                <w:lang w:val="en-GB"/>
              </w:rPr>
              <w:t>isaster risk reduction</w:t>
            </w:r>
            <w:r>
              <w:rPr>
                <w:sz w:val="20"/>
                <w:szCs w:val="20"/>
                <w:lang w:val="en-GB"/>
              </w:rPr>
              <w:t xml:space="preserve"> through</w:t>
            </w:r>
            <w:r w:rsidR="00FE0762">
              <w:rPr>
                <w:sz w:val="20"/>
                <w:szCs w:val="20"/>
                <w:lang w:val="en-GB"/>
              </w:rPr>
              <w:t xml:space="preserve"> </w:t>
            </w:r>
            <w:r w:rsidR="00B1486A">
              <w:rPr>
                <w:sz w:val="20"/>
                <w:szCs w:val="20"/>
                <w:lang w:val="en-GB"/>
              </w:rPr>
              <w:t>gather</w:t>
            </w:r>
            <w:r w:rsidR="00D67DD7">
              <w:rPr>
                <w:sz w:val="20"/>
                <w:szCs w:val="20"/>
                <w:lang w:val="en-GB"/>
              </w:rPr>
              <w:t>ing</w:t>
            </w:r>
            <w:r w:rsidR="00B1486A">
              <w:rPr>
                <w:sz w:val="20"/>
                <w:szCs w:val="20"/>
                <w:lang w:val="en-GB"/>
              </w:rPr>
              <w:t xml:space="preserve"> disaggregated</w:t>
            </w:r>
            <w:r w:rsidR="00EB02E4" w:rsidRPr="00EA479C">
              <w:rPr>
                <w:sz w:val="20"/>
                <w:szCs w:val="20"/>
                <w:lang w:val="en-GB"/>
              </w:rPr>
              <w:t xml:space="preserve"> data and innovative practices to measure and report on risk reduction</w:t>
            </w:r>
            <w:r w:rsidR="00D67DD7">
              <w:rPr>
                <w:sz w:val="20"/>
                <w:szCs w:val="20"/>
                <w:lang w:val="en-GB"/>
              </w:rPr>
              <w:t>, including through leveraging new technologies</w:t>
            </w:r>
            <w:r w:rsidR="0093259B">
              <w:rPr>
                <w:sz w:val="20"/>
                <w:szCs w:val="20"/>
                <w:lang w:val="en-GB"/>
              </w:rPr>
              <w:t xml:space="preserve">. </w:t>
            </w:r>
            <w:r w:rsidR="0093259B" w:rsidRPr="00D7650D">
              <w:rPr>
                <w:sz w:val="20"/>
                <w:szCs w:val="20"/>
                <w:lang w:val="en-GB"/>
              </w:rPr>
              <w:t>In particular</w:t>
            </w:r>
            <w:r w:rsidR="00D67DD7" w:rsidRPr="00D7650D">
              <w:rPr>
                <w:sz w:val="20"/>
                <w:szCs w:val="20"/>
                <w:lang w:val="en-GB"/>
              </w:rPr>
              <w:t>,</w:t>
            </w:r>
            <w:r w:rsidR="0093259B" w:rsidRPr="00D7650D">
              <w:rPr>
                <w:sz w:val="20"/>
                <w:szCs w:val="20"/>
                <w:lang w:val="en-GB"/>
              </w:rPr>
              <w:t xml:space="preserve"> </w:t>
            </w:r>
            <w:r w:rsidRPr="00D7650D">
              <w:rPr>
                <w:sz w:val="20"/>
                <w:szCs w:val="20"/>
                <w:lang w:val="en-GB"/>
              </w:rPr>
              <w:t>y</w:t>
            </w:r>
            <w:r w:rsidR="00EB02E4" w:rsidRPr="00D7650D">
              <w:rPr>
                <w:sz w:val="20"/>
                <w:szCs w:val="20"/>
                <w:lang w:val="en-GB"/>
              </w:rPr>
              <w:t xml:space="preserve">outh </w:t>
            </w:r>
            <w:r w:rsidR="0093259B" w:rsidRPr="00D7650D">
              <w:rPr>
                <w:sz w:val="20"/>
                <w:szCs w:val="20"/>
                <w:lang w:val="en-GB"/>
              </w:rPr>
              <w:t xml:space="preserve">should be engaged in the </w:t>
            </w:r>
            <w:r w:rsidR="00D67DD7">
              <w:rPr>
                <w:sz w:val="20"/>
                <w:szCs w:val="20"/>
                <w:lang w:val="en-GB"/>
              </w:rPr>
              <w:t>gathering and use of data for</w:t>
            </w:r>
            <w:r w:rsidR="0093259B" w:rsidRPr="00D7650D">
              <w:rPr>
                <w:sz w:val="20"/>
                <w:szCs w:val="20"/>
                <w:lang w:val="en-GB"/>
              </w:rPr>
              <w:t xml:space="preserve"> planning, budgeting, monitoring and evaluating impact and pro</w:t>
            </w:r>
            <w:r w:rsidR="00D67DD7" w:rsidRPr="00D67DD7">
              <w:rPr>
                <w:sz w:val="20"/>
                <w:szCs w:val="20"/>
                <w:lang w:val="en-GB"/>
              </w:rPr>
              <w:t xml:space="preserve">gress </w:t>
            </w:r>
            <w:r w:rsidR="00D67DD7">
              <w:rPr>
                <w:sz w:val="20"/>
                <w:szCs w:val="20"/>
                <w:lang w:val="en-GB"/>
              </w:rPr>
              <w:t>to ensure inclusiveness</w:t>
            </w:r>
            <w:r w:rsidR="00D67DD7" w:rsidRPr="00D67DD7">
              <w:rPr>
                <w:sz w:val="20"/>
                <w:szCs w:val="20"/>
                <w:lang w:val="en-GB"/>
              </w:rPr>
              <w:t xml:space="preserve"> </w:t>
            </w:r>
            <w:r w:rsidR="00D67DD7">
              <w:rPr>
                <w:sz w:val="20"/>
                <w:szCs w:val="20"/>
                <w:lang w:val="en-GB"/>
              </w:rPr>
              <w:t>and</w:t>
            </w:r>
            <w:r w:rsidR="00D67DD7" w:rsidRPr="00D67DD7">
              <w:rPr>
                <w:sz w:val="20"/>
                <w:szCs w:val="20"/>
                <w:lang w:val="en-GB"/>
              </w:rPr>
              <w:t xml:space="preserve"> enhance accountability</w:t>
            </w:r>
            <w:r w:rsidR="0093259B" w:rsidRPr="00D7650D">
              <w:rPr>
                <w:sz w:val="20"/>
                <w:szCs w:val="20"/>
                <w:lang w:val="en-GB"/>
              </w:rPr>
              <w:t xml:space="preserve"> </w:t>
            </w:r>
            <w:r w:rsidR="00EB02E4" w:rsidRPr="00D7650D">
              <w:rPr>
                <w:sz w:val="20"/>
                <w:szCs w:val="20"/>
                <w:lang w:val="en-GB"/>
              </w:rPr>
              <w:t xml:space="preserve">in </w:t>
            </w:r>
            <w:r w:rsidR="00D132FD" w:rsidRPr="00D7650D">
              <w:rPr>
                <w:sz w:val="20"/>
                <w:szCs w:val="20"/>
                <w:lang w:val="en-GB"/>
              </w:rPr>
              <w:t>disaster risk reduction</w:t>
            </w:r>
            <w:r w:rsidR="00D67DD7">
              <w:rPr>
                <w:sz w:val="20"/>
                <w:szCs w:val="20"/>
                <w:lang w:val="en-GB"/>
              </w:rPr>
              <w:t xml:space="preserve">. </w:t>
            </w:r>
          </w:p>
          <w:p w14:paraId="54183DC1" w14:textId="77777777" w:rsidR="0093259B" w:rsidRDefault="0093259B" w:rsidP="00D7650D">
            <w:pPr>
              <w:pStyle w:val="ListParagraph"/>
              <w:ind w:left="337"/>
              <w:rPr>
                <w:sz w:val="20"/>
                <w:szCs w:val="20"/>
                <w:lang w:val="en-GB"/>
              </w:rPr>
            </w:pPr>
          </w:p>
          <w:p w14:paraId="6E6FDA57" w14:textId="77777777" w:rsidR="0093259B" w:rsidRPr="00B173E2" w:rsidRDefault="0093259B" w:rsidP="0093259B">
            <w:pPr>
              <w:pStyle w:val="ListParagraph"/>
              <w:numPr>
                <w:ilvl w:val="0"/>
                <w:numId w:val="6"/>
              </w:numPr>
              <w:ind w:left="337"/>
              <w:rPr>
                <w:sz w:val="20"/>
                <w:szCs w:val="20"/>
                <w:lang w:val="en-GB"/>
              </w:rPr>
            </w:pPr>
            <w:r w:rsidRPr="00B173E2">
              <w:rPr>
                <w:sz w:val="20"/>
                <w:szCs w:val="20"/>
                <w:lang w:val="en-GB"/>
              </w:rPr>
              <w:t>Health, protection, education and income-generating activities underpin sustainable empowerment of women and youth. The impacts o</w:t>
            </w:r>
            <w:r>
              <w:rPr>
                <w:sz w:val="20"/>
                <w:szCs w:val="20"/>
                <w:lang w:val="en-GB"/>
              </w:rPr>
              <w:t>f disasters on unpaid care work</w:t>
            </w:r>
            <w:r w:rsidRPr="00B173E2">
              <w:rPr>
                <w:sz w:val="20"/>
                <w:szCs w:val="20"/>
                <w:lang w:val="en-GB"/>
              </w:rPr>
              <w:t xml:space="preserve"> goes largely unnoticed and is not </w:t>
            </w:r>
            <w:r>
              <w:rPr>
                <w:sz w:val="20"/>
                <w:szCs w:val="20"/>
                <w:lang w:val="en-GB"/>
              </w:rPr>
              <w:t xml:space="preserve">usually </w:t>
            </w:r>
            <w:r w:rsidRPr="00B173E2">
              <w:rPr>
                <w:sz w:val="20"/>
                <w:szCs w:val="20"/>
                <w:lang w:val="en-GB"/>
              </w:rPr>
              <w:t xml:space="preserve">included in calculations of disaster </w:t>
            </w:r>
            <w:r>
              <w:rPr>
                <w:sz w:val="20"/>
                <w:szCs w:val="20"/>
                <w:lang w:val="en-GB"/>
              </w:rPr>
              <w:t>losses</w:t>
            </w:r>
            <w:r w:rsidRPr="00B173E2">
              <w:rPr>
                <w:sz w:val="20"/>
                <w:szCs w:val="20"/>
                <w:lang w:val="en-GB"/>
              </w:rPr>
              <w:t xml:space="preserve">. </w:t>
            </w:r>
            <w:r>
              <w:rPr>
                <w:sz w:val="20"/>
                <w:szCs w:val="20"/>
                <w:lang w:val="en-GB"/>
              </w:rPr>
              <w:t xml:space="preserve">Enhanced and broader </w:t>
            </w:r>
            <w:r w:rsidRPr="00B173E2">
              <w:rPr>
                <w:sz w:val="20"/>
                <w:szCs w:val="20"/>
                <w:lang w:val="en-GB"/>
              </w:rPr>
              <w:t xml:space="preserve">understanding </w:t>
            </w:r>
            <w:r>
              <w:rPr>
                <w:sz w:val="20"/>
                <w:szCs w:val="20"/>
                <w:lang w:val="en-GB"/>
              </w:rPr>
              <w:t xml:space="preserve">of this issue, as well as, </w:t>
            </w:r>
            <w:r w:rsidRPr="00B173E2">
              <w:rPr>
                <w:sz w:val="20"/>
                <w:szCs w:val="20"/>
                <w:lang w:val="en-GB"/>
              </w:rPr>
              <w:t xml:space="preserve">data on this </w:t>
            </w:r>
            <w:r>
              <w:rPr>
                <w:sz w:val="20"/>
                <w:szCs w:val="20"/>
                <w:lang w:val="en-GB"/>
              </w:rPr>
              <w:t xml:space="preserve">issue </w:t>
            </w:r>
            <w:r w:rsidRPr="00B173E2">
              <w:rPr>
                <w:sz w:val="20"/>
                <w:szCs w:val="20"/>
                <w:lang w:val="en-GB"/>
              </w:rPr>
              <w:t xml:space="preserve">would </w:t>
            </w:r>
            <w:r>
              <w:rPr>
                <w:sz w:val="20"/>
                <w:szCs w:val="20"/>
                <w:lang w:val="en-GB"/>
              </w:rPr>
              <w:t>strengthen</w:t>
            </w:r>
            <w:r w:rsidRPr="00B173E2">
              <w:rPr>
                <w:sz w:val="20"/>
                <w:szCs w:val="20"/>
                <w:lang w:val="en-GB"/>
              </w:rPr>
              <w:t xml:space="preserve"> argument</w:t>
            </w:r>
            <w:r>
              <w:rPr>
                <w:sz w:val="20"/>
                <w:szCs w:val="20"/>
                <w:lang w:val="en-GB"/>
              </w:rPr>
              <w:t>s</w:t>
            </w:r>
            <w:r w:rsidRPr="00B173E2">
              <w:rPr>
                <w:sz w:val="20"/>
                <w:szCs w:val="20"/>
                <w:lang w:val="en-GB"/>
              </w:rPr>
              <w:t xml:space="preserve"> for gender-</w:t>
            </w:r>
            <w:r>
              <w:rPr>
                <w:sz w:val="20"/>
                <w:szCs w:val="20"/>
                <w:lang w:val="en-GB"/>
              </w:rPr>
              <w:t>inclusive</w:t>
            </w:r>
            <w:r w:rsidRPr="00B173E2">
              <w:rPr>
                <w:sz w:val="20"/>
                <w:szCs w:val="20"/>
                <w:lang w:val="en-GB"/>
              </w:rPr>
              <w:t xml:space="preserve"> policies and services </w:t>
            </w:r>
            <w:r>
              <w:rPr>
                <w:sz w:val="20"/>
                <w:szCs w:val="20"/>
                <w:lang w:val="en-GB"/>
              </w:rPr>
              <w:t>to</w:t>
            </w:r>
            <w:r w:rsidRPr="00B173E2">
              <w:rPr>
                <w:sz w:val="20"/>
                <w:szCs w:val="20"/>
                <w:lang w:val="en-GB"/>
              </w:rPr>
              <w:t xml:space="preserve"> </w:t>
            </w:r>
            <w:r>
              <w:rPr>
                <w:sz w:val="20"/>
                <w:szCs w:val="20"/>
                <w:lang w:val="en-GB"/>
              </w:rPr>
              <w:t>expand</w:t>
            </w:r>
            <w:r w:rsidRPr="00B173E2">
              <w:rPr>
                <w:sz w:val="20"/>
                <w:szCs w:val="20"/>
                <w:lang w:val="en-GB"/>
              </w:rPr>
              <w:t xml:space="preserve"> women’s leadership in </w:t>
            </w:r>
            <w:r>
              <w:rPr>
                <w:sz w:val="20"/>
                <w:szCs w:val="20"/>
                <w:lang w:val="en-GB"/>
              </w:rPr>
              <w:t>disaster risk reduction</w:t>
            </w:r>
            <w:r w:rsidRPr="00B173E2">
              <w:rPr>
                <w:sz w:val="20"/>
                <w:szCs w:val="20"/>
                <w:lang w:val="en-GB"/>
              </w:rPr>
              <w:t>.</w:t>
            </w:r>
          </w:p>
          <w:p w14:paraId="14ADE67C" w14:textId="77777777" w:rsidR="0093259B" w:rsidRPr="00EA479C" w:rsidRDefault="0093259B" w:rsidP="00D7650D">
            <w:pPr>
              <w:pStyle w:val="ListParagraph"/>
              <w:ind w:left="337"/>
              <w:rPr>
                <w:sz w:val="20"/>
                <w:szCs w:val="20"/>
                <w:lang w:val="en-GB"/>
              </w:rPr>
            </w:pPr>
          </w:p>
          <w:p w14:paraId="61764F8E" w14:textId="77777777" w:rsidR="00B82692" w:rsidRPr="00EA479C" w:rsidRDefault="00B82692" w:rsidP="00B82692">
            <w:pPr>
              <w:pStyle w:val="ListParagraph"/>
              <w:tabs>
                <w:tab w:val="left" w:pos="2025"/>
              </w:tabs>
              <w:rPr>
                <w:sz w:val="20"/>
                <w:szCs w:val="20"/>
                <w:lang w:val="en-GB"/>
              </w:rPr>
            </w:pPr>
          </w:p>
          <w:p w14:paraId="12D6D6AD" w14:textId="77777777" w:rsidR="00B82692" w:rsidRPr="00EA479C" w:rsidRDefault="00B82692" w:rsidP="00B82692">
            <w:pPr>
              <w:pStyle w:val="ListParagraph"/>
              <w:tabs>
                <w:tab w:val="left" w:pos="2025"/>
              </w:tabs>
              <w:rPr>
                <w:sz w:val="20"/>
                <w:szCs w:val="20"/>
                <w:lang w:val="en-GB"/>
              </w:rPr>
            </w:pPr>
          </w:p>
        </w:tc>
      </w:tr>
      <w:tr w:rsidR="008418D3" w:rsidRPr="00EA479C" w14:paraId="1F1CEFD0" w14:textId="77777777" w:rsidTr="00EB3EBD">
        <w:tc>
          <w:tcPr>
            <w:tcW w:w="9243" w:type="dxa"/>
          </w:tcPr>
          <w:p w14:paraId="45E9382D" w14:textId="77777777" w:rsidR="008418D3" w:rsidRPr="00EA479C" w:rsidRDefault="00075111" w:rsidP="000D3A5C">
            <w:pPr>
              <w:pStyle w:val="ListParagraph"/>
              <w:numPr>
                <w:ilvl w:val="0"/>
                <w:numId w:val="2"/>
              </w:numPr>
              <w:rPr>
                <w:sz w:val="20"/>
                <w:szCs w:val="20"/>
                <w:lang w:val="en-GB"/>
              </w:rPr>
            </w:pPr>
            <w:r w:rsidRPr="00EA479C">
              <w:rPr>
                <w:sz w:val="20"/>
                <w:szCs w:val="20"/>
                <w:lang w:val="en-GB"/>
              </w:rPr>
              <w:t>International cooperation initiatives, including</w:t>
            </w:r>
            <w:r w:rsidR="00D66CB1" w:rsidRPr="00EA479C">
              <w:rPr>
                <w:sz w:val="20"/>
                <w:szCs w:val="20"/>
                <w:lang w:val="en-GB"/>
              </w:rPr>
              <w:t xml:space="preserve"> what is expected from the UN System</w:t>
            </w:r>
          </w:p>
        </w:tc>
      </w:tr>
      <w:tr w:rsidR="000D3A5C" w:rsidRPr="00EA479C" w14:paraId="1D50811C" w14:textId="77777777" w:rsidTr="00EB3EBD">
        <w:tc>
          <w:tcPr>
            <w:tcW w:w="9243" w:type="dxa"/>
          </w:tcPr>
          <w:p w14:paraId="3428D3C2" w14:textId="77777777" w:rsidR="000D3A5C" w:rsidRPr="00EA479C" w:rsidRDefault="000D3A5C" w:rsidP="000D3A5C">
            <w:pPr>
              <w:pStyle w:val="ListParagraph"/>
              <w:rPr>
                <w:sz w:val="20"/>
                <w:szCs w:val="20"/>
                <w:lang w:val="en-GB"/>
              </w:rPr>
            </w:pPr>
          </w:p>
        </w:tc>
      </w:tr>
    </w:tbl>
    <w:p w14:paraId="3475DB86" w14:textId="77777777" w:rsidR="00EA479C" w:rsidRDefault="00EA479C">
      <w:r>
        <w:br w:type="page"/>
      </w:r>
    </w:p>
    <w:tbl>
      <w:tblPr>
        <w:tblStyle w:val="TableGrid"/>
        <w:tblW w:w="0" w:type="auto"/>
        <w:tblLook w:val="04A0" w:firstRow="1" w:lastRow="0" w:firstColumn="1" w:lastColumn="0" w:noHBand="0" w:noVBand="1"/>
      </w:tblPr>
      <w:tblGrid>
        <w:gridCol w:w="9243"/>
      </w:tblGrid>
      <w:tr w:rsidR="00156348" w:rsidRPr="00EA479C" w14:paraId="722A42E8" w14:textId="77777777" w:rsidTr="00EB3EBD">
        <w:tc>
          <w:tcPr>
            <w:tcW w:w="9243" w:type="dxa"/>
          </w:tcPr>
          <w:p w14:paraId="2873810B" w14:textId="77777777" w:rsidR="00156348" w:rsidRPr="00EA479C" w:rsidRDefault="00156348" w:rsidP="008D40C0">
            <w:pPr>
              <w:spacing w:line="276" w:lineRule="auto"/>
              <w:rPr>
                <w:sz w:val="20"/>
                <w:szCs w:val="20"/>
                <w:lang w:val="en-GB"/>
              </w:rPr>
            </w:pPr>
            <w:r w:rsidRPr="00EA479C">
              <w:rPr>
                <w:sz w:val="20"/>
                <w:szCs w:val="20"/>
                <w:lang w:val="en-GB"/>
              </w:rPr>
              <w:lastRenderedPageBreak/>
              <w:t>Key</w:t>
            </w:r>
            <w:r w:rsidR="003F0F35" w:rsidRPr="00EA479C">
              <w:rPr>
                <w:sz w:val="20"/>
                <w:szCs w:val="20"/>
                <w:lang w:val="en-GB"/>
              </w:rPr>
              <w:t>,</w:t>
            </w:r>
            <w:r w:rsidRPr="00EA479C">
              <w:rPr>
                <w:sz w:val="20"/>
                <w:szCs w:val="20"/>
                <w:lang w:val="en-GB"/>
              </w:rPr>
              <w:t xml:space="preserve"> </w:t>
            </w:r>
            <w:r w:rsidRPr="00EA479C">
              <w:rPr>
                <w:b/>
                <w:bCs/>
                <w:color w:val="FF0000"/>
                <w:sz w:val="20"/>
                <w:szCs w:val="20"/>
                <w:lang w:val="en-GB"/>
              </w:rPr>
              <w:t>pre</w:t>
            </w:r>
            <w:r w:rsidR="003F0F35" w:rsidRPr="00EA479C">
              <w:rPr>
                <w:b/>
                <w:bCs/>
                <w:color w:val="FF0000"/>
                <w:sz w:val="20"/>
                <w:szCs w:val="20"/>
                <w:lang w:val="en-GB"/>
              </w:rPr>
              <w:t>cise</w:t>
            </w:r>
            <w:r w:rsidR="00D8139D" w:rsidRPr="00EA479C">
              <w:rPr>
                <w:b/>
                <w:bCs/>
                <w:color w:val="FF0000"/>
                <w:sz w:val="20"/>
                <w:szCs w:val="20"/>
                <w:lang w:val="en-GB"/>
              </w:rPr>
              <w:t>, specific</w:t>
            </w:r>
            <w:r w:rsidR="003F0F35" w:rsidRPr="00EA479C">
              <w:rPr>
                <w:b/>
                <w:bCs/>
                <w:color w:val="FF0000"/>
                <w:sz w:val="20"/>
                <w:szCs w:val="20"/>
                <w:lang w:val="en-GB"/>
              </w:rPr>
              <w:t xml:space="preserve"> actions points</w:t>
            </w:r>
            <w:r w:rsidR="008D40C0" w:rsidRPr="00EA479C">
              <w:rPr>
                <w:sz w:val="20"/>
                <w:szCs w:val="20"/>
                <w:lang w:val="en-GB"/>
              </w:rPr>
              <w:t xml:space="preserve">, </w:t>
            </w:r>
            <w:r w:rsidR="008D40C0" w:rsidRPr="00EA479C">
              <w:rPr>
                <w:b/>
                <w:bCs/>
                <w:color w:val="FF0000"/>
                <w:sz w:val="20"/>
                <w:szCs w:val="20"/>
                <w:lang w:val="en-GB"/>
              </w:rPr>
              <w:t>recommendations</w:t>
            </w:r>
            <w:r w:rsidR="003F0F35" w:rsidRPr="00EA479C">
              <w:rPr>
                <w:sz w:val="20"/>
                <w:szCs w:val="20"/>
                <w:lang w:val="en-GB"/>
              </w:rPr>
              <w:t xml:space="preserve">, </w:t>
            </w:r>
            <w:r w:rsidRPr="00EA479C">
              <w:rPr>
                <w:sz w:val="20"/>
                <w:szCs w:val="20"/>
                <w:lang w:val="en-GB"/>
              </w:rPr>
              <w:t xml:space="preserve">with </w:t>
            </w:r>
            <w:r w:rsidR="003F0F35" w:rsidRPr="00EA479C">
              <w:rPr>
                <w:sz w:val="20"/>
                <w:szCs w:val="20"/>
                <w:lang w:val="en-GB"/>
              </w:rPr>
              <w:t>expected timeframes</w:t>
            </w:r>
            <w:r w:rsidR="00934C04" w:rsidRPr="00EA479C">
              <w:rPr>
                <w:sz w:val="20"/>
                <w:szCs w:val="20"/>
                <w:lang w:val="en-GB"/>
              </w:rPr>
              <w:t xml:space="preserve">, </w:t>
            </w:r>
            <w:r w:rsidR="00400261" w:rsidRPr="00EA479C">
              <w:rPr>
                <w:sz w:val="20"/>
                <w:szCs w:val="20"/>
                <w:lang w:val="en-GB"/>
              </w:rPr>
              <w:t xml:space="preserve">as </w:t>
            </w:r>
            <w:r w:rsidR="00934C04" w:rsidRPr="00EA479C">
              <w:rPr>
                <w:sz w:val="20"/>
                <w:szCs w:val="20"/>
                <w:lang w:val="en-GB"/>
              </w:rPr>
              <w:t>summarized by the Co-chairs when closing the session</w:t>
            </w:r>
            <w:r w:rsidR="00502080" w:rsidRPr="00EA479C">
              <w:rPr>
                <w:sz w:val="20"/>
                <w:szCs w:val="20"/>
                <w:lang w:val="en-GB"/>
              </w:rPr>
              <w:t xml:space="preserve"> (no worth in repeating what already agreed to in the Sendai Framework</w:t>
            </w:r>
            <w:r w:rsidR="0095124C" w:rsidRPr="00EA479C">
              <w:rPr>
                <w:sz w:val="20"/>
                <w:szCs w:val="20"/>
                <w:lang w:val="en-GB"/>
              </w:rPr>
              <w:t>)</w:t>
            </w:r>
            <w:r w:rsidR="00502080" w:rsidRPr="00EA479C">
              <w:rPr>
                <w:sz w:val="20"/>
                <w:szCs w:val="20"/>
                <w:lang w:val="en-GB"/>
              </w:rPr>
              <w:t xml:space="preserve"> </w:t>
            </w:r>
          </w:p>
        </w:tc>
      </w:tr>
      <w:tr w:rsidR="00156348" w:rsidRPr="00EA479C" w14:paraId="7A277483" w14:textId="77777777" w:rsidTr="00EB3EBD">
        <w:tc>
          <w:tcPr>
            <w:tcW w:w="9243" w:type="dxa"/>
          </w:tcPr>
          <w:p w14:paraId="5A55BC29" w14:textId="3FC1DC14" w:rsidR="0091023D" w:rsidRDefault="0091023D" w:rsidP="00106D58">
            <w:pPr>
              <w:pStyle w:val="ListParagraph"/>
              <w:numPr>
                <w:ilvl w:val="0"/>
                <w:numId w:val="7"/>
              </w:numPr>
              <w:ind w:left="427"/>
              <w:rPr>
                <w:sz w:val="20"/>
                <w:szCs w:val="20"/>
                <w:lang w:val="en-GB"/>
              </w:rPr>
            </w:pPr>
            <w:r w:rsidRPr="00EA479C">
              <w:rPr>
                <w:sz w:val="20"/>
                <w:szCs w:val="20"/>
                <w:lang w:val="en-GB"/>
              </w:rPr>
              <w:t xml:space="preserve">Disaster Risk Management Committees should </w:t>
            </w:r>
            <w:r w:rsidR="00106D58">
              <w:rPr>
                <w:sz w:val="20"/>
                <w:szCs w:val="20"/>
                <w:lang w:val="en-GB"/>
              </w:rPr>
              <w:t xml:space="preserve">include </w:t>
            </w:r>
            <w:r w:rsidRPr="00EA479C">
              <w:rPr>
                <w:sz w:val="20"/>
                <w:szCs w:val="20"/>
                <w:lang w:val="en-GB"/>
              </w:rPr>
              <w:t>gender</w:t>
            </w:r>
            <w:r w:rsidR="00106D58">
              <w:rPr>
                <w:sz w:val="20"/>
                <w:szCs w:val="20"/>
                <w:lang w:val="en-GB"/>
              </w:rPr>
              <w:t>,</w:t>
            </w:r>
            <w:r>
              <w:rPr>
                <w:sz w:val="20"/>
                <w:szCs w:val="20"/>
                <w:lang w:val="en-GB"/>
              </w:rPr>
              <w:t xml:space="preserve"> age</w:t>
            </w:r>
            <w:r w:rsidR="00106D58">
              <w:rPr>
                <w:sz w:val="20"/>
                <w:szCs w:val="20"/>
                <w:lang w:val="en-GB"/>
              </w:rPr>
              <w:t xml:space="preserve"> and </w:t>
            </w:r>
            <w:r w:rsidR="00106D58" w:rsidRPr="00EA479C">
              <w:rPr>
                <w:sz w:val="20"/>
                <w:szCs w:val="20"/>
                <w:lang w:val="en-GB"/>
              </w:rPr>
              <w:t>persons with disabilities</w:t>
            </w:r>
            <w:r w:rsidR="00D7650D">
              <w:rPr>
                <w:sz w:val="20"/>
                <w:szCs w:val="20"/>
                <w:lang w:val="en-GB"/>
              </w:rPr>
              <w:t xml:space="preserve"> at</w:t>
            </w:r>
            <w:r w:rsidR="00D7650D" w:rsidRPr="00EA479C">
              <w:rPr>
                <w:sz w:val="20"/>
                <w:szCs w:val="20"/>
                <w:lang w:val="en-GB"/>
              </w:rPr>
              <w:t xml:space="preserve"> </w:t>
            </w:r>
            <w:r w:rsidR="00D7650D">
              <w:rPr>
                <w:sz w:val="20"/>
                <w:szCs w:val="20"/>
                <w:lang w:val="en-GB"/>
              </w:rPr>
              <w:t>all level</w:t>
            </w:r>
            <w:r w:rsidR="00106D58">
              <w:rPr>
                <w:sz w:val="20"/>
                <w:szCs w:val="20"/>
                <w:lang w:val="en-GB"/>
              </w:rPr>
              <w:t>.</w:t>
            </w:r>
          </w:p>
          <w:p w14:paraId="1F66DF1B" w14:textId="77777777" w:rsidR="00CE71CC" w:rsidRDefault="00CE71CC" w:rsidP="00106D58">
            <w:pPr>
              <w:ind w:left="427"/>
              <w:rPr>
                <w:sz w:val="20"/>
                <w:szCs w:val="20"/>
                <w:lang w:val="en-GB"/>
              </w:rPr>
            </w:pPr>
          </w:p>
          <w:p w14:paraId="6E2DA8B7" w14:textId="56DC0708" w:rsidR="00CE71CC" w:rsidRPr="00D7650D" w:rsidRDefault="00CE71CC" w:rsidP="00106D58">
            <w:pPr>
              <w:pStyle w:val="ListParagraph"/>
              <w:numPr>
                <w:ilvl w:val="0"/>
                <w:numId w:val="7"/>
              </w:numPr>
              <w:ind w:left="427"/>
              <w:rPr>
                <w:sz w:val="20"/>
                <w:szCs w:val="20"/>
                <w:lang w:val="en-GB"/>
              </w:rPr>
            </w:pPr>
            <w:r w:rsidRPr="00D7650D">
              <w:rPr>
                <w:sz w:val="20"/>
                <w:szCs w:val="20"/>
                <w:lang w:val="en-GB"/>
              </w:rPr>
              <w:t xml:space="preserve">Compile and publish </w:t>
            </w:r>
            <w:r w:rsidR="000F5679" w:rsidRPr="00D7650D">
              <w:rPr>
                <w:sz w:val="20"/>
                <w:szCs w:val="20"/>
                <w:lang w:val="en-GB"/>
              </w:rPr>
              <w:t xml:space="preserve">inclusive </w:t>
            </w:r>
            <w:r w:rsidRPr="00D7650D">
              <w:rPr>
                <w:sz w:val="20"/>
                <w:szCs w:val="20"/>
                <w:lang w:val="en-GB"/>
              </w:rPr>
              <w:t>lessons learnt</w:t>
            </w:r>
            <w:r w:rsidR="000F5679" w:rsidRPr="00D7650D">
              <w:rPr>
                <w:sz w:val="20"/>
                <w:szCs w:val="20"/>
                <w:lang w:val="en-GB"/>
              </w:rPr>
              <w:t xml:space="preserve"> and best practices</w:t>
            </w:r>
            <w:r w:rsidRPr="00D7650D">
              <w:rPr>
                <w:sz w:val="20"/>
                <w:szCs w:val="20"/>
                <w:lang w:val="en-GB"/>
              </w:rPr>
              <w:t xml:space="preserve"> </w:t>
            </w:r>
            <w:r w:rsidR="000F5679" w:rsidRPr="00D7650D">
              <w:rPr>
                <w:sz w:val="20"/>
                <w:szCs w:val="20"/>
                <w:lang w:val="en-GB"/>
              </w:rPr>
              <w:t>globally</w:t>
            </w:r>
            <w:r w:rsidR="00B1486A" w:rsidRPr="00D7650D">
              <w:rPr>
                <w:sz w:val="20"/>
                <w:szCs w:val="20"/>
                <w:lang w:val="en-GB"/>
              </w:rPr>
              <w:t xml:space="preserve"> </w:t>
            </w:r>
            <w:r w:rsidR="00B1486A" w:rsidRPr="00D7650D">
              <w:rPr>
                <w:sz w:val="20"/>
                <w:szCs w:val="20"/>
                <w:lang w:val="en-GB"/>
              </w:rPr>
              <w:t>to improve prevention and preparedness</w:t>
            </w:r>
            <w:r w:rsidRPr="00D7650D">
              <w:rPr>
                <w:sz w:val="20"/>
                <w:szCs w:val="20"/>
                <w:lang w:val="en-GB"/>
              </w:rPr>
              <w:t xml:space="preserve"> </w:t>
            </w:r>
            <w:r w:rsidR="00B1486A" w:rsidRPr="00D7650D">
              <w:rPr>
                <w:sz w:val="20"/>
                <w:szCs w:val="20"/>
                <w:lang w:val="en-GB"/>
              </w:rPr>
              <w:t>for use by a</w:t>
            </w:r>
            <w:r w:rsidRPr="00D7650D">
              <w:rPr>
                <w:sz w:val="20"/>
                <w:szCs w:val="20"/>
                <w:lang w:val="en-GB"/>
              </w:rPr>
              <w:t xml:space="preserve"> variety of stakeholders</w:t>
            </w:r>
            <w:r w:rsidR="00B1486A" w:rsidRPr="00D7650D">
              <w:rPr>
                <w:sz w:val="20"/>
                <w:szCs w:val="20"/>
                <w:lang w:val="en-GB"/>
              </w:rPr>
              <w:t>,</w:t>
            </w:r>
            <w:r w:rsidRPr="00D7650D">
              <w:rPr>
                <w:sz w:val="20"/>
                <w:szCs w:val="20"/>
                <w:lang w:val="en-GB"/>
              </w:rPr>
              <w:t xml:space="preserve"> including civil protection agencies. </w:t>
            </w:r>
          </w:p>
          <w:p w14:paraId="5280828D" w14:textId="77777777" w:rsidR="00106D58" w:rsidRPr="00D7650D" w:rsidRDefault="00106D58" w:rsidP="00106D58">
            <w:pPr>
              <w:pStyle w:val="ListParagraph"/>
              <w:rPr>
                <w:sz w:val="20"/>
                <w:szCs w:val="20"/>
                <w:lang w:val="en-GB"/>
              </w:rPr>
            </w:pPr>
          </w:p>
          <w:p w14:paraId="4EDEC035" w14:textId="520696FF" w:rsidR="00106D58" w:rsidRPr="00D7650D" w:rsidRDefault="00106D58" w:rsidP="00106D58">
            <w:pPr>
              <w:pStyle w:val="ListParagraph"/>
              <w:numPr>
                <w:ilvl w:val="0"/>
                <w:numId w:val="7"/>
              </w:numPr>
              <w:ind w:left="427"/>
              <w:rPr>
                <w:sz w:val="20"/>
                <w:szCs w:val="20"/>
                <w:lang w:val="en-GB"/>
              </w:rPr>
            </w:pPr>
            <w:r w:rsidRPr="00D7650D">
              <w:rPr>
                <w:sz w:val="20"/>
                <w:szCs w:val="20"/>
                <w:lang w:val="en-GB"/>
              </w:rPr>
              <w:t>Train and empower women and volunteers by providing access and full engagement in decision</w:t>
            </w:r>
            <w:r w:rsidR="00D67DD7" w:rsidRPr="00D7650D">
              <w:rPr>
                <w:sz w:val="20"/>
                <w:szCs w:val="20"/>
                <w:lang w:val="en-GB"/>
              </w:rPr>
              <w:t>-</w:t>
            </w:r>
            <w:r w:rsidRPr="00D7650D">
              <w:rPr>
                <w:sz w:val="20"/>
                <w:szCs w:val="20"/>
                <w:lang w:val="en-GB"/>
              </w:rPr>
              <w:t>making processes.</w:t>
            </w:r>
          </w:p>
          <w:p w14:paraId="262050BB" w14:textId="77777777" w:rsidR="0091023D" w:rsidRDefault="0091023D" w:rsidP="00106D58">
            <w:pPr>
              <w:pStyle w:val="ListParagraph"/>
              <w:ind w:left="427"/>
              <w:rPr>
                <w:sz w:val="20"/>
                <w:szCs w:val="20"/>
                <w:lang w:val="en-GB"/>
              </w:rPr>
            </w:pPr>
          </w:p>
          <w:p w14:paraId="40C5D59F" w14:textId="77777777" w:rsidR="00B82692" w:rsidRPr="00EA479C" w:rsidRDefault="00B82692" w:rsidP="00106D58">
            <w:pPr>
              <w:pStyle w:val="ListParagraph"/>
              <w:numPr>
                <w:ilvl w:val="0"/>
                <w:numId w:val="7"/>
              </w:numPr>
              <w:ind w:left="427"/>
              <w:rPr>
                <w:sz w:val="20"/>
                <w:szCs w:val="20"/>
                <w:lang w:val="en-GB"/>
              </w:rPr>
            </w:pPr>
            <w:r w:rsidRPr="00EA479C">
              <w:rPr>
                <w:sz w:val="20"/>
                <w:szCs w:val="20"/>
                <w:lang w:val="en-GB"/>
              </w:rPr>
              <w:t>Endorsed the Dhaka Declaration on Disabilit</w:t>
            </w:r>
            <w:r w:rsidR="00DB5354" w:rsidRPr="00EA479C">
              <w:rPr>
                <w:sz w:val="20"/>
                <w:szCs w:val="20"/>
                <w:lang w:val="en-GB"/>
              </w:rPr>
              <w:t xml:space="preserve">y and Disaster Risk Management </w:t>
            </w:r>
            <w:r w:rsidRPr="00EA479C">
              <w:rPr>
                <w:sz w:val="20"/>
                <w:szCs w:val="20"/>
                <w:lang w:val="en-GB"/>
              </w:rPr>
              <w:t>and urges for member countries to implement</w:t>
            </w:r>
            <w:r w:rsidR="00EB02E4" w:rsidRPr="00EA479C">
              <w:rPr>
                <w:sz w:val="20"/>
                <w:szCs w:val="20"/>
                <w:lang w:val="en-GB"/>
              </w:rPr>
              <w:t xml:space="preserve"> Dhaka Declaration</w:t>
            </w:r>
            <w:r w:rsidRPr="00EA479C">
              <w:rPr>
                <w:sz w:val="20"/>
                <w:szCs w:val="20"/>
                <w:lang w:val="en-GB"/>
              </w:rPr>
              <w:t xml:space="preserve"> and report</w:t>
            </w:r>
            <w:r w:rsidR="00EB02E4" w:rsidRPr="00EA479C">
              <w:rPr>
                <w:sz w:val="20"/>
                <w:szCs w:val="20"/>
                <w:lang w:val="en-GB"/>
              </w:rPr>
              <w:t xml:space="preserve"> on it when submitting the Sendai Monitoring</w:t>
            </w:r>
            <w:r w:rsidR="00DB5354" w:rsidRPr="00EA479C">
              <w:rPr>
                <w:sz w:val="20"/>
                <w:szCs w:val="20"/>
                <w:lang w:val="en-GB"/>
              </w:rPr>
              <w:t xml:space="preserve"> in 2019</w:t>
            </w:r>
            <w:r w:rsidR="00EB02E4" w:rsidRPr="00EA479C">
              <w:rPr>
                <w:sz w:val="20"/>
                <w:szCs w:val="20"/>
                <w:lang w:val="en-GB"/>
              </w:rPr>
              <w:t>.</w:t>
            </w:r>
            <w:r w:rsidR="00A56531" w:rsidRPr="00EA479C">
              <w:rPr>
                <w:sz w:val="20"/>
                <w:szCs w:val="20"/>
                <w:lang w:val="en-GB"/>
              </w:rPr>
              <w:t xml:space="preserve"> Dhaka Declaration calls for: </w:t>
            </w:r>
          </w:p>
          <w:p w14:paraId="00A11DBE" w14:textId="77777777" w:rsidR="00A56531" w:rsidRPr="00EA479C" w:rsidRDefault="00A56531" w:rsidP="00A56531">
            <w:pPr>
              <w:pStyle w:val="ListParagraph"/>
              <w:numPr>
                <w:ilvl w:val="1"/>
                <w:numId w:val="3"/>
              </w:numPr>
              <w:ind w:left="967"/>
              <w:rPr>
                <w:sz w:val="20"/>
                <w:szCs w:val="20"/>
                <w:lang w:val="en-GB"/>
              </w:rPr>
            </w:pPr>
            <w:r w:rsidRPr="00EA479C">
              <w:rPr>
                <w:sz w:val="20"/>
                <w:szCs w:val="20"/>
                <w:lang w:val="en-GB"/>
              </w:rPr>
              <w:t>All level of Disaster Risk Management Committees should have gender</w:t>
            </w:r>
            <w:r w:rsidR="003C6B00">
              <w:rPr>
                <w:sz w:val="20"/>
                <w:szCs w:val="20"/>
                <w:lang w:val="en-GB"/>
              </w:rPr>
              <w:t xml:space="preserve"> and </w:t>
            </w:r>
            <w:r w:rsidR="0091023D">
              <w:rPr>
                <w:sz w:val="20"/>
                <w:szCs w:val="20"/>
                <w:lang w:val="en-GB"/>
              </w:rPr>
              <w:t xml:space="preserve">age </w:t>
            </w:r>
            <w:r w:rsidRPr="00EA479C">
              <w:rPr>
                <w:sz w:val="20"/>
                <w:szCs w:val="20"/>
                <w:lang w:val="en-GB"/>
              </w:rPr>
              <w:t>sensitive representation of persons with disabilities</w:t>
            </w:r>
          </w:p>
          <w:p w14:paraId="3FFEA17E" w14:textId="77777777" w:rsidR="00A56531" w:rsidRPr="00EA479C" w:rsidRDefault="00A56531" w:rsidP="00A56531">
            <w:pPr>
              <w:pStyle w:val="ListParagraph"/>
              <w:numPr>
                <w:ilvl w:val="1"/>
                <w:numId w:val="3"/>
              </w:numPr>
              <w:ind w:left="967"/>
              <w:rPr>
                <w:sz w:val="20"/>
                <w:szCs w:val="20"/>
                <w:lang w:val="en-GB"/>
              </w:rPr>
            </w:pPr>
            <w:r w:rsidRPr="00EA479C">
              <w:rPr>
                <w:sz w:val="20"/>
                <w:szCs w:val="20"/>
                <w:lang w:val="en-GB"/>
              </w:rPr>
              <w:t>inclusive Community Risk Assessment and Risk Reduction Action Plan framework and guidelines for disaster risk management programmes</w:t>
            </w:r>
          </w:p>
          <w:p w14:paraId="268643B4" w14:textId="77777777" w:rsidR="00A56531" w:rsidRPr="00EA479C" w:rsidRDefault="00A56531" w:rsidP="00A56531">
            <w:pPr>
              <w:pStyle w:val="ListParagraph"/>
              <w:numPr>
                <w:ilvl w:val="1"/>
                <w:numId w:val="3"/>
              </w:numPr>
              <w:rPr>
                <w:sz w:val="20"/>
                <w:szCs w:val="20"/>
                <w:lang w:val="en-GB"/>
              </w:rPr>
            </w:pPr>
            <w:r w:rsidRPr="00EA479C">
              <w:rPr>
                <w:sz w:val="20"/>
                <w:szCs w:val="20"/>
                <w:lang w:val="en-GB"/>
              </w:rPr>
              <w:t>establish and/or support local and national multi-stakeholders’ platforms to implement the Sendai Framework through active citizen engagement</w:t>
            </w:r>
          </w:p>
          <w:p w14:paraId="07E02909" w14:textId="77777777" w:rsidR="00A56531" w:rsidRPr="00EA479C" w:rsidRDefault="00A56531" w:rsidP="00A56531">
            <w:pPr>
              <w:pStyle w:val="ListParagraph"/>
              <w:numPr>
                <w:ilvl w:val="1"/>
                <w:numId w:val="3"/>
              </w:numPr>
              <w:rPr>
                <w:sz w:val="20"/>
                <w:szCs w:val="20"/>
                <w:lang w:val="en-GB"/>
              </w:rPr>
            </w:pPr>
            <w:r w:rsidRPr="00EA479C">
              <w:rPr>
                <w:sz w:val="20"/>
                <w:szCs w:val="20"/>
                <w:lang w:val="en-GB"/>
              </w:rPr>
              <w:t>an effective mechanism and guidelines to compile sex, age and disability disaggregated data at pre- and post- disaster situations</w:t>
            </w:r>
          </w:p>
          <w:p w14:paraId="3D92ED2D" w14:textId="77777777" w:rsidR="00A56531" w:rsidRPr="00EA479C" w:rsidRDefault="00A56531" w:rsidP="00A56531">
            <w:pPr>
              <w:pStyle w:val="ListParagraph"/>
              <w:numPr>
                <w:ilvl w:val="1"/>
                <w:numId w:val="3"/>
              </w:numPr>
              <w:rPr>
                <w:sz w:val="20"/>
                <w:szCs w:val="20"/>
                <w:lang w:val="en-GB"/>
              </w:rPr>
            </w:pPr>
            <w:r w:rsidRPr="00EA479C">
              <w:rPr>
                <w:sz w:val="20"/>
                <w:szCs w:val="20"/>
                <w:lang w:val="en-GB"/>
              </w:rPr>
              <w:t>people centred multi-hazard early warning system</w:t>
            </w:r>
          </w:p>
          <w:p w14:paraId="48A1A5F2" w14:textId="77777777" w:rsidR="00A56531" w:rsidRPr="00EA479C" w:rsidRDefault="00A56531" w:rsidP="00A56531">
            <w:pPr>
              <w:pStyle w:val="ListParagraph"/>
              <w:numPr>
                <w:ilvl w:val="1"/>
                <w:numId w:val="3"/>
              </w:numPr>
              <w:rPr>
                <w:sz w:val="20"/>
                <w:szCs w:val="20"/>
                <w:lang w:val="en-GB"/>
              </w:rPr>
            </w:pPr>
            <w:r w:rsidRPr="00EA479C">
              <w:rPr>
                <w:sz w:val="20"/>
                <w:szCs w:val="20"/>
                <w:lang w:val="en-GB"/>
              </w:rPr>
              <w:t>to enforce accessible and resilient infrastructure models including schools, hospitals and shelters following the principles of universal design</w:t>
            </w:r>
          </w:p>
          <w:p w14:paraId="7C682381" w14:textId="77777777" w:rsidR="00A56531" w:rsidRPr="00EA479C" w:rsidRDefault="00A56531" w:rsidP="00A56531">
            <w:pPr>
              <w:pStyle w:val="ListParagraph"/>
              <w:numPr>
                <w:ilvl w:val="1"/>
                <w:numId w:val="3"/>
              </w:numPr>
              <w:rPr>
                <w:sz w:val="20"/>
                <w:szCs w:val="20"/>
                <w:lang w:val="en-GB"/>
              </w:rPr>
            </w:pPr>
            <w:r w:rsidRPr="00EA479C">
              <w:rPr>
                <w:sz w:val="20"/>
                <w:szCs w:val="20"/>
                <w:lang w:val="en-GB"/>
              </w:rPr>
              <w:t>replicate accessible and affordable technology, device and equipment for inclusive humanitarian response</w:t>
            </w:r>
          </w:p>
          <w:p w14:paraId="42270FF6" w14:textId="77777777" w:rsidR="00A56531" w:rsidRPr="00EA479C" w:rsidRDefault="00B173E2" w:rsidP="00A56531">
            <w:pPr>
              <w:pStyle w:val="ListParagraph"/>
              <w:numPr>
                <w:ilvl w:val="1"/>
                <w:numId w:val="3"/>
              </w:numPr>
              <w:rPr>
                <w:sz w:val="20"/>
                <w:szCs w:val="20"/>
                <w:lang w:val="en-GB"/>
              </w:rPr>
            </w:pPr>
            <w:r>
              <w:rPr>
                <w:sz w:val="20"/>
                <w:szCs w:val="20"/>
                <w:lang w:val="en-GB"/>
              </w:rPr>
              <w:t>each</w:t>
            </w:r>
            <w:r w:rsidR="00A56531" w:rsidRPr="00EA479C">
              <w:rPr>
                <w:sz w:val="20"/>
                <w:szCs w:val="20"/>
                <w:lang w:val="en-GB"/>
              </w:rPr>
              <w:t xml:space="preserve"> region will declare focal points to represent in the advocacy group on Inclusive DRM to be formed by UNISDR, and National and Regional DPOs</w:t>
            </w:r>
          </w:p>
          <w:p w14:paraId="6F9C3332" w14:textId="77777777" w:rsidR="00B82692" w:rsidRPr="00EA479C" w:rsidRDefault="00B82692" w:rsidP="00B82692">
            <w:pPr>
              <w:rPr>
                <w:sz w:val="20"/>
                <w:szCs w:val="20"/>
                <w:lang w:val="en-GB"/>
              </w:rPr>
            </w:pPr>
          </w:p>
          <w:p w14:paraId="5664F568" w14:textId="77777777" w:rsidR="00B82692" w:rsidRPr="00EA479C" w:rsidRDefault="00B82692" w:rsidP="00B82692">
            <w:pPr>
              <w:rPr>
                <w:sz w:val="20"/>
                <w:szCs w:val="20"/>
                <w:lang w:val="en-GB"/>
              </w:rPr>
            </w:pPr>
          </w:p>
        </w:tc>
      </w:tr>
      <w:tr w:rsidR="00156348" w:rsidRPr="00EA479C" w14:paraId="64DFDF2D" w14:textId="77777777" w:rsidTr="00EB3EBD">
        <w:tc>
          <w:tcPr>
            <w:tcW w:w="9243" w:type="dxa"/>
          </w:tcPr>
          <w:p w14:paraId="56ADCEB5" w14:textId="77777777" w:rsidR="00156348" w:rsidRPr="00EA479C" w:rsidRDefault="005E705D" w:rsidP="005E705D">
            <w:pPr>
              <w:spacing w:line="276" w:lineRule="auto"/>
              <w:rPr>
                <w:sz w:val="20"/>
                <w:szCs w:val="20"/>
                <w:lang w:val="en-GB"/>
              </w:rPr>
            </w:pPr>
            <w:r w:rsidRPr="00EA479C">
              <w:rPr>
                <w:sz w:val="20"/>
                <w:szCs w:val="20"/>
                <w:lang w:val="en-GB"/>
              </w:rPr>
              <w:t xml:space="preserve">Specific </w:t>
            </w:r>
            <w:r w:rsidRPr="00EA479C">
              <w:rPr>
                <w:b/>
                <w:bCs/>
                <w:color w:val="FF0000"/>
                <w:sz w:val="20"/>
                <w:szCs w:val="20"/>
                <w:lang w:val="en-GB"/>
              </w:rPr>
              <w:t>Commitments</w:t>
            </w:r>
            <w:r w:rsidRPr="00EA479C">
              <w:rPr>
                <w:sz w:val="20"/>
                <w:szCs w:val="20"/>
                <w:lang w:val="en-GB"/>
              </w:rPr>
              <w:t xml:space="preserve"> expressed by any of the participants</w:t>
            </w:r>
          </w:p>
        </w:tc>
      </w:tr>
      <w:tr w:rsidR="00156348" w:rsidRPr="00EA479C" w14:paraId="396FCC7A" w14:textId="77777777" w:rsidTr="00EB3EBD">
        <w:tc>
          <w:tcPr>
            <w:tcW w:w="9243" w:type="dxa"/>
          </w:tcPr>
          <w:p w14:paraId="7B81B0FD" w14:textId="77777777" w:rsidR="00156348" w:rsidRPr="00EA479C" w:rsidRDefault="00156348" w:rsidP="00156348">
            <w:pPr>
              <w:spacing w:after="200" w:line="276" w:lineRule="auto"/>
              <w:rPr>
                <w:sz w:val="20"/>
                <w:szCs w:val="20"/>
                <w:lang w:val="en-GB"/>
              </w:rPr>
            </w:pPr>
          </w:p>
        </w:tc>
      </w:tr>
    </w:tbl>
    <w:p w14:paraId="110433D3" w14:textId="77777777" w:rsidR="002F4632" w:rsidRPr="00EA479C" w:rsidRDefault="002F4632">
      <w:pPr>
        <w:rPr>
          <w:lang w:val="en-GB"/>
        </w:rPr>
      </w:pPr>
    </w:p>
    <w:sectPr w:rsidR="002F4632" w:rsidRPr="00EA479C" w:rsidSect="00EA479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802B5" w14:textId="77777777" w:rsidR="008976B7" w:rsidRDefault="008976B7" w:rsidP="00F548AA">
      <w:pPr>
        <w:spacing w:after="0" w:line="240" w:lineRule="auto"/>
      </w:pPr>
      <w:r>
        <w:separator/>
      </w:r>
    </w:p>
  </w:endnote>
  <w:endnote w:type="continuationSeparator" w:id="0">
    <w:p w14:paraId="502C1D4E" w14:textId="77777777" w:rsidR="008976B7" w:rsidRDefault="008976B7" w:rsidP="00F5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7EA65" w14:textId="77777777" w:rsidR="008976B7" w:rsidRDefault="008976B7" w:rsidP="00F548AA">
      <w:pPr>
        <w:spacing w:after="0" w:line="240" w:lineRule="auto"/>
      </w:pPr>
      <w:r>
        <w:separator/>
      </w:r>
    </w:p>
  </w:footnote>
  <w:footnote w:type="continuationSeparator" w:id="0">
    <w:p w14:paraId="1F32C181" w14:textId="77777777" w:rsidR="008976B7" w:rsidRDefault="008976B7" w:rsidP="00F54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0CC"/>
    <w:multiLevelType w:val="hybridMultilevel"/>
    <w:tmpl w:val="DF6274B4"/>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 w15:restartNumberingAfterBreak="0">
    <w:nsid w:val="0ABC0300"/>
    <w:multiLevelType w:val="hybridMultilevel"/>
    <w:tmpl w:val="DAB60724"/>
    <w:lvl w:ilvl="0" w:tplc="08090015">
      <w:start w:val="1"/>
      <w:numFmt w:val="upp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E2D7415"/>
    <w:multiLevelType w:val="hybridMultilevel"/>
    <w:tmpl w:val="0636A0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E539D"/>
    <w:multiLevelType w:val="hybridMultilevel"/>
    <w:tmpl w:val="ED00D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C1ACD"/>
    <w:multiLevelType w:val="hybridMultilevel"/>
    <w:tmpl w:val="BEA0AC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E22EC"/>
    <w:multiLevelType w:val="hybridMultilevel"/>
    <w:tmpl w:val="ED00D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31B9E"/>
    <w:multiLevelType w:val="hybridMultilevel"/>
    <w:tmpl w:val="D15A0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48"/>
    <w:rsid w:val="00037ED1"/>
    <w:rsid w:val="00065E2A"/>
    <w:rsid w:val="00070191"/>
    <w:rsid w:val="00075111"/>
    <w:rsid w:val="00094A5F"/>
    <w:rsid w:val="000D3A5C"/>
    <w:rsid w:val="000E6C90"/>
    <w:rsid w:val="000F5679"/>
    <w:rsid w:val="00106D58"/>
    <w:rsid w:val="00107B27"/>
    <w:rsid w:val="00156348"/>
    <w:rsid w:val="00187F4C"/>
    <w:rsid w:val="001D6461"/>
    <w:rsid w:val="002450FE"/>
    <w:rsid w:val="002B2E1A"/>
    <w:rsid w:val="002D48D1"/>
    <w:rsid w:val="002F4632"/>
    <w:rsid w:val="0031791D"/>
    <w:rsid w:val="00334B73"/>
    <w:rsid w:val="003C2F14"/>
    <w:rsid w:val="003C6B00"/>
    <w:rsid w:val="003E2D4F"/>
    <w:rsid w:val="003F0F35"/>
    <w:rsid w:val="003F5A4A"/>
    <w:rsid w:val="00400261"/>
    <w:rsid w:val="004271B5"/>
    <w:rsid w:val="00470133"/>
    <w:rsid w:val="004921F1"/>
    <w:rsid w:val="004A0082"/>
    <w:rsid w:val="004E27AF"/>
    <w:rsid w:val="00502080"/>
    <w:rsid w:val="0054444D"/>
    <w:rsid w:val="005A5581"/>
    <w:rsid w:val="005D732A"/>
    <w:rsid w:val="005E705D"/>
    <w:rsid w:val="00655C1B"/>
    <w:rsid w:val="0068363A"/>
    <w:rsid w:val="006C2527"/>
    <w:rsid w:val="006E40F9"/>
    <w:rsid w:val="006F2C6D"/>
    <w:rsid w:val="00720F79"/>
    <w:rsid w:val="00730450"/>
    <w:rsid w:val="0073172F"/>
    <w:rsid w:val="00751969"/>
    <w:rsid w:val="007B3DAD"/>
    <w:rsid w:val="007E0C6A"/>
    <w:rsid w:val="00803BEF"/>
    <w:rsid w:val="00807EDA"/>
    <w:rsid w:val="00813F61"/>
    <w:rsid w:val="008418D3"/>
    <w:rsid w:val="008512BA"/>
    <w:rsid w:val="008701CF"/>
    <w:rsid w:val="008976B7"/>
    <w:rsid w:val="008D40C0"/>
    <w:rsid w:val="008F4757"/>
    <w:rsid w:val="0091023D"/>
    <w:rsid w:val="0093259B"/>
    <w:rsid w:val="00934C04"/>
    <w:rsid w:val="0095124C"/>
    <w:rsid w:val="0098704F"/>
    <w:rsid w:val="009C63C4"/>
    <w:rsid w:val="009F1DB8"/>
    <w:rsid w:val="009F24B9"/>
    <w:rsid w:val="00A44570"/>
    <w:rsid w:val="00A540C9"/>
    <w:rsid w:val="00A56531"/>
    <w:rsid w:val="00AA0C8E"/>
    <w:rsid w:val="00AA6D02"/>
    <w:rsid w:val="00AF7998"/>
    <w:rsid w:val="00B1486A"/>
    <w:rsid w:val="00B173E2"/>
    <w:rsid w:val="00B31716"/>
    <w:rsid w:val="00B5300F"/>
    <w:rsid w:val="00B672E5"/>
    <w:rsid w:val="00B67F89"/>
    <w:rsid w:val="00B756C0"/>
    <w:rsid w:val="00B82692"/>
    <w:rsid w:val="00B83F55"/>
    <w:rsid w:val="00BF53A8"/>
    <w:rsid w:val="00C46D3E"/>
    <w:rsid w:val="00C845C4"/>
    <w:rsid w:val="00C90929"/>
    <w:rsid w:val="00CB0A12"/>
    <w:rsid w:val="00CD1CE1"/>
    <w:rsid w:val="00CE71CC"/>
    <w:rsid w:val="00D132FD"/>
    <w:rsid w:val="00D27210"/>
    <w:rsid w:val="00D66CB1"/>
    <w:rsid w:val="00D67DD7"/>
    <w:rsid w:val="00D7650D"/>
    <w:rsid w:val="00D8139D"/>
    <w:rsid w:val="00DB5354"/>
    <w:rsid w:val="00DF0894"/>
    <w:rsid w:val="00E07249"/>
    <w:rsid w:val="00E30E54"/>
    <w:rsid w:val="00E8327F"/>
    <w:rsid w:val="00EA479C"/>
    <w:rsid w:val="00EB02E4"/>
    <w:rsid w:val="00ED357D"/>
    <w:rsid w:val="00ED61CF"/>
    <w:rsid w:val="00F548AA"/>
    <w:rsid w:val="00FE0762"/>
    <w:rsid w:val="00FF26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E2941"/>
  <w15:docId w15:val="{FF925DA8-82F8-42F3-800B-B780C9C6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8AA"/>
  </w:style>
  <w:style w:type="paragraph" w:styleId="Footer">
    <w:name w:val="footer"/>
    <w:basedOn w:val="Normal"/>
    <w:link w:val="FooterChar"/>
    <w:uiPriority w:val="99"/>
    <w:unhideWhenUsed/>
    <w:rsid w:val="00F54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8AA"/>
  </w:style>
  <w:style w:type="paragraph" w:styleId="ListParagraph">
    <w:name w:val="List Paragraph"/>
    <w:basedOn w:val="Normal"/>
    <w:uiPriority w:val="34"/>
    <w:qFormat/>
    <w:rsid w:val="00107B27"/>
    <w:pPr>
      <w:ind w:left="720"/>
      <w:contextualSpacing/>
    </w:pPr>
  </w:style>
  <w:style w:type="paragraph" w:styleId="BalloonText">
    <w:name w:val="Balloon Text"/>
    <w:basedOn w:val="Normal"/>
    <w:link w:val="BalloonTextChar"/>
    <w:uiPriority w:val="99"/>
    <w:semiHidden/>
    <w:unhideWhenUsed/>
    <w:rsid w:val="00AF7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998"/>
    <w:rPr>
      <w:rFonts w:ascii="Segoe UI" w:hAnsi="Segoe UI" w:cs="Segoe UI"/>
      <w:sz w:val="18"/>
      <w:szCs w:val="18"/>
    </w:rPr>
  </w:style>
  <w:style w:type="character" w:styleId="CommentReference">
    <w:name w:val="annotation reference"/>
    <w:basedOn w:val="DefaultParagraphFont"/>
    <w:uiPriority w:val="99"/>
    <w:semiHidden/>
    <w:unhideWhenUsed/>
    <w:rsid w:val="00E8327F"/>
    <w:rPr>
      <w:sz w:val="16"/>
      <w:szCs w:val="16"/>
    </w:rPr>
  </w:style>
  <w:style w:type="paragraph" w:styleId="CommentText">
    <w:name w:val="annotation text"/>
    <w:basedOn w:val="Normal"/>
    <w:link w:val="CommentTextChar"/>
    <w:uiPriority w:val="99"/>
    <w:semiHidden/>
    <w:unhideWhenUsed/>
    <w:rsid w:val="00E8327F"/>
    <w:pPr>
      <w:spacing w:line="240" w:lineRule="auto"/>
    </w:pPr>
    <w:rPr>
      <w:sz w:val="20"/>
      <w:szCs w:val="20"/>
    </w:rPr>
  </w:style>
  <w:style w:type="character" w:customStyle="1" w:styleId="CommentTextChar">
    <w:name w:val="Comment Text Char"/>
    <w:basedOn w:val="DefaultParagraphFont"/>
    <w:link w:val="CommentText"/>
    <w:uiPriority w:val="99"/>
    <w:semiHidden/>
    <w:rsid w:val="00E8327F"/>
    <w:rPr>
      <w:sz w:val="20"/>
      <w:szCs w:val="20"/>
    </w:rPr>
  </w:style>
  <w:style w:type="paragraph" w:styleId="CommentSubject">
    <w:name w:val="annotation subject"/>
    <w:basedOn w:val="CommentText"/>
    <w:next w:val="CommentText"/>
    <w:link w:val="CommentSubjectChar"/>
    <w:uiPriority w:val="99"/>
    <w:semiHidden/>
    <w:unhideWhenUsed/>
    <w:rsid w:val="00E8327F"/>
    <w:rPr>
      <w:b/>
      <w:bCs/>
    </w:rPr>
  </w:style>
  <w:style w:type="character" w:customStyle="1" w:styleId="CommentSubjectChar">
    <w:name w:val="Comment Subject Char"/>
    <w:basedOn w:val="CommentTextChar"/>
    <w:link w:val="CommentSubject"/>
    <w:uiPriority w:val="99"/>
    <w:semiHidden/>
    <w:rsid w:val="00E832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15032">
      <w:bodyDiv w:val="1"/>
      <w:marLeft w:val="0"/>
      <w:marRight w:val="0"/>
      <w:marTop w:val="0"/>
      <w:marBottom w:val="0"/>
      <w:divBdr>
        <w:top w:val="none" w:sz="0" w:space="0" w:color="auto"/>
        <w:left w:val="none" w:sz="0" w:space="0" w:color="auto"/>
        <w:bottom w:val="none" w:sz="0" w:space="0" w:color="auto"/>
        <w:right w:val="none" w:sz="0" w:space="0" w:color="auto"/>
      </w:divBdr>
      <w:divsChild>
        <w:div w:id="1272274141">
          <w:marLeft w:val="0"/>
          <w:marRight w:val="0"/>
          <w:marTop w:val="0"/>
          <w:marBottom w:val="0"/>
          <w:divBdr>
            <w:top w:val="none" w:sz="0" w:space="0" w:color="auto"/>
            <w:left w:val="none" w:sz="0" w:space="0" w:color="auto"/>
            <w:bottom w:val="none" w:sz="0" w:space="0" w:color="auto"/>
            <w:right w:val="none" w:sz="0" w:space="0" w:color="auto"/>
          </w:divBdr>
          <w:divsChild>
            <w:div w:id="537158064">
              <w:marLeft w:val="0"/>
              <w:marRight w:val="0"/>
              <w:marTop w:val="0"/>
              <w:marBottom w:val="0"/>
              <w:divBdr>
                <w:top w:val="none" w:sz="0" w:space="0" w:color="auto"/>
                <w:left w:val="none" w:sz="0" w:space="0" w:color="auto"/>
                <w:bottom w:val="none" w:sz="0" w:space="0" w:color="auto"/>
                <w:right w:val="none" w:sz="0" w:space="0" w:color="auto"/>
              </w:divBdr>
              <w:divsChild>
                <w:div w:id="20746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2542">
      <w:bodyDiv w:val="1"/>
      <w:marLeft w:val="0"/>
      <w:marRight w:val="0"/>
      <w:marTop w:val="0"/>
      <w:marBottom w:val="0"/>
      <w:divBdr>
        <w:top w:val="none" w:sz="0" w:space="0" w:color="auto"/>
        <w:left w:val="none" w:sz="0" w:space="0" w:color="auto"/>
        <w:bottom w:val="none" w:sz="0" w:space="0" w:color="auto"/>
        <w:right w:val="none" w:sz="0" w:space="0" w:color="auto"/>
      </w:divBdr>
      <w:divsChild>
        <w:div w:id="1892036514">
          <w:marLeft w:val="0"/>
          <w:marRight w:val="0"/>
          <w:marTop w:val="0"/>
          <w:marBottom w:val="0"/>
          <w:divBdr>
            <w:top w:val="none" w:sz="0" w:space="0" w:color="auto"/>
            <w:left w:val="none" w:sz="0" w:space="0" w:color="auto"/>
            <w:bottom w:val="none" w:sz="0" w:space="0" w:color="auto"/>
            <w:right w:val="none" w:sz="0" w:space="0" w:color="auto"/>
          </w:divBdr>
          <w:divsChild>
            <w:div w:id="991643726">
              <w:marLeft w:val="0"/>
              <w:marRight w:val="0"/>
              <w:marTop w:val="0"/>
              <w:marBottom w:val="0"/>
              <w:divBdr>
                <w:top w:val="none" w:sz="0" w:space="0" w:color="auto"/>
                <w:left w:val="none" w:sz="0" w:space="0" w:color="auto"/>
                <w:bottom w:val="none" w:sz="0" w:space="0" w:color="auto"/>
                <w:right w:val="none" w:sz="0" w:space="0" w:color="auto"/>
              </w:divBdr>
              <w:divsChild>
                <w:div w:id="15432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4981</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 Office at Geneva</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dc:creator>
  <cp:lastModifiedBy>Stefanie Dannenmann-Di Palma</cp:lastModifiedBy>
  <cp:revision>2</cp:revision>
  <dcterms:created xsi:type="dcterms:W3CDTF">2017-05-26T01:09:00Z</dcterms:created>
  <dcterms:modified xsi:type="dcterms:W3CDTF">2017-05-26T01:09:00Z</dcterms:modified>
</cp:coreProperties>
</file>