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07F02" w14:textId="77777777" w:rsidR="00D07E90" w:rsidRDefault="00D07E90" w:rsidP="00332641">
      <w:pPr>
        <w:spacing w:after="0" w:line="240" w:lineRule="auto"/>
        <w:rPr>
          <w:rFonts w:ascii="Arial" w:hAnsi="Arial"/>
          <w:sz w:val="24"/>
          <w:szCs w:val="24"/>
        </w:rPr>
      </w:pPr>
      <w:bookmarkStart w:id="0" w:name="_GoBack"/>
      <w:bookmarkEnd w:id="0"/>
      <w:r>
        <w:rPr>
          <w:b/>
          <w:bCs/>
          <w:noProof/>
          <w:lang w:val="es-MX" w:eastAsia="es-MX"/>
        </w:rPr>
        <w:drawing>
          <wp:inline distT="0" distB="0" distL="0" distR="0" wp14:anchorId="4A5B8B83" wp14:editId="3504006D">
            <wp:extent cx="5270500" cy="1170305"/>
            <wp:effectExtent l="0" t="0" r="1270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170305"/>
                    </a:xfrm>
                    <a:prstGeom prst="rect">
                      <a:avLst/>
                    </a:prstGeom>
                    <a:noFill/>
                    <a:ln>
                      <a:noFill/>
                    </a:ln>
                  </pic:spPr>
                </pic:pic>
              </a:graphicData>
            </a:graphic>
          </wp:inline>
        </w:drawing>
      </w:r>
    </w:p>
    <w:p w14:paraId="77255398" w14:textId="77777777" w:rsidR="00D07E90" w:rsidRPr="00B72990" w:rsidRDefault="00D07E90" w:rsidP="00332641">
      <w:pPr>
        <w:spacing w:after="0" w:line="240" w:lineRule="auto"/>
        <w:rPr>
          <w:rFonts w:ascii="Arial" w:hAnsi="Arial"/>
          <w:sz w:val="24"/>
          <w:szCs w:val="24"/>
        </w:rPr>
      </w:pPr>
    </w:p>
    <w:p w14:paraId="6E04E401" w14:textId="77777777" w:rsidR="00D07E90" w:rsidRPr="00B72990" w:rsidRDefault="00D07E90" w:rsidP="00332641">
      <w:pPr>
        <w:pStyle w:val="Normal1"/>
        <w:pBdr>
          <w:top w:val="single" w:sz="4" w:space="1" w:color="auto"/>
          <w:left w:val="single" w:sz="4" w:space="4" w:color="auto"/>
          <w:bottom w:val="single" w:sz="4" w:space="1" w:color="auto"/>
          <w:right w:val="single" w:sz="4" w:space="4" w:color="auto"/>
        </w:pBdr>
        <w:jc w:val="center"/>
        <w:rPr>
          <w:rFonts w:ascii="Arial" w:hAnsi="Arial" w:cs="Arial"/>
          <w:b/>
          <w:bCs/>
          <w:color w:val="auto"/>
          <w:sz w:val="24"/>
        </w:rPr>
      </w:pPr>
      <w:r w:rsidRPr="00B72990">
        <w:rPr>
          <w:rFonts w:ascii="Arial" w:hAnsi="Arial" w:cs="Arial"/>
          <w:b/>
          <w:bCs/>
          <w:color w:val="auto"/>
          <w:sz w:val="24"/>
        </w:rPr>
        <w:t xml:space="preserve">SESSION CONCEPT NOTE </w:t>
      </w:r>
    </w:p>
    <w:p w14:paraId="4CABE8E2" w14:textId="77777777" w:rsidR="00D07E90" w:rsidRPr="00B72990" w:rsidRDefault="00D07E90" w:rsidP="00332641">
      <w:pPr>
        <w:pStyle w:val="Normal1"/>
        <w:rPr>
          <w:rFonts w:ascii="Arial" w:hAnsi="Arial" w:cs="Arial"/>
          <w:b/>
          <w:bCs/>
          <w:color w:val="auto"/>
          <w:sz w:val="24"/>
        </w:rPr>
      </w:pPr>
    </w:p>
    <w:p w14:paraId="7A11FCF1" w14:textId="6237083A" w:rsidR="00D07E90" w:rsidRPr="00B72990" w:rsidRDefault="005F3CC9" w:rsidP="00332641">
      <w:pPr>
        <w:pStyle w:val="Normal1"/>
        <w:jc w:val="center"/>
        <w:rPr>
          <w:rFonts w:ascii="Arial" w:hAnsi="Arial" w:cs="Arial"/>
          <w:b/>
          <w:bCs/>
          <w:color w:val="auto"/>
          <w:sz w:val="24"/>
        </w:rPr>
      </w:pPr>
      <w:r>
        <w:rPr>
          <w:rFonts w:ascii="Arial" w:hAnsi="Arial" w:cs="Arial"/>
          <w:b/>
          <w:bCs/>
          <w:color w:val="auto"/>
          <w:sz w:val="24"/>
        </w:rPr>
        <w:t>Disaster Risk Reduction Governance</w:t>
      </w:r>
    </w:p>
    <w:p w14:paraId="1F219766" w14:textId="77777777" w:rsidR="00D07E90" w:rsidRPr="00B72990" w:rsidRDefault="00D07E90" w:rsidP="00332641">
      <w:pPr>
        <w:spacing w:after="0" w:line="240" w:lineRule="auto"/>
        <w:ind w:left="180"/>
        <w:jc w:val="center"/>
        <w:rPr>
          <w:rFonts w:ascii="Arial" w:hAnsi="Arial"/>
          <w:b/>
          <w:bCs/>
          <w:sz w:val="24"/>
          <w:szCs w:val="24"/>
        </w:rPr>
      </w:pPr>
      <w:r w:rsidRPr="00B72990">
        <w:rPr>
          <w:rFonts w:ascii="Arial" w:hAnsi="Arial"/>
          <w:b/>
          <w:bCs/>
          <w:sz w:val="24"/>
          <w:szCs w:val="24"/>
        </w:rPr>
        <w:t>Concept Note</w:t>
      </w:r>
    </w:p>
    <w:p w14:paraId="533F0C23" w14:textId="77777777" w:rsidR="00D07E90" w:rsidRPr="00B72990" w:rsidRDefault="00D07E90" w:rsidP="00332641">
      <w:pPr>
        <w:pStyle w:val="Normal1"/>
        <w:jc w:val="center"/>
        <w:rPr>
          <w:rFonts w:ascii="Arial" w:hAnsi="Arial" w:cs="Arial"/>
          <w:color w:val="auto"/>
          <w:sz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2552"/>
        <w:gridCol w:w="6662"/>
      </w:tblGrid>
      <w:tr w:rsidR="00D07E90" w:rsidRPr="00B72990" w14:paraId="560F3B3C" w14:textId="77777777" w:rsidTr="00D149BA">
        <w:trPr>
          <w:trHeight w:val="257"/>
        </w:trPr>
        <w:tc>
          <w:tcPr>
            <w:tcW w:w="2552" w:type="dxa"/>
            <w:tcMar>
              <w:top w:w="100" w:type="dxa"/>
              <w:left w:w="108" w:type="dxa"/>
              <w:bottom w:w="100" w:type="dxa"/>
              <w:right w:w="108" w:type="dxa"/>
            </w:tcMar>
          </w:tcPr>
          <w:p w14:paraId="34C18B42" w14:textId="77777777" w:rsidR="00D07E90" w:rsidRPr="00B72990" w:rsidRDefault="00D07E90" w:rsidP="00332641">
            <w:pPr>
              <w:pStyle w:val="Normal1"/>
              <w:ind w:firstLine="0"/>
              <w:rPr>
                <w:rFonts w:ascii="Arial" w:hAnsi="Arial" w:cs="Arial"/>
                <w:color w:val="auto"/>
                <w:sz w:val="24"/>
              </w:rPr>
            </w:pPr>
            <w:r w:rsidRPr="00B72990">
              <w:rPr>
                <w:rFonts w:ascii="Arial" w:hAnsi="Arial" w:cs="Arial"/>
                <w:b/>
                <w:color w:val="auto"/>
                <w:sz w:val="24"/>
              </w:rPr>
              <w:t>Schedule</w:t>
            </w:r>
          </w:p>
        </w:tc>
        <w:tc>
          <w:tcPr>
            <w:tcW w:w="6662" w:type="dxa"/>
            <w:tcMar>
              <w:top w:w="100" w:type="dxa"/>
              <w:left w:w="108" w:type="dxa"/>
              <w:bottom w:w="100" w:type="dxa"/>
              <w:right w:w="108" w:type="dxa"/>
            </w:tcMar>
          </w:tcPr>
          <w:p w14:paraId="6C16CA9A" w14:textId="56FBBE63" w:rsidR="00D07E90" w:rsidRDefault="00F2519D" w:rsidP="00332641">
            <w:pPr>
              <w:pStyle w:val="Normal1"/>
              <w:ind w:firstLine="0"/>
              <w:rPr>
                <w:rFonts w:ascii="Arial" w:hAnsi="Arial" w:cs="Arial"/>
                <w:color w:val="auto"/>
                <w:sz w:val="24"/>
              </w:rPr>
            </w:pPr>
            <w:r>
              <w:rPr>
                <w:rFonts w:ascii="Arial" w:hAnsi="Arial" w:cs="Arial"/>
                <w:color w:val="auto"/>
                <w:sz w:val="24"/>
              </w:rPr>
              <w:t>May 2</w:t>
            </w:r>
            <w:r w:rsidR="00D247BD">
              <w:rPr>
                <w:rFonts w:ascii="Arial" w:hAnsi="Arial" w:cs="Arial"/>
                <w:color w:val="auto"/>
                <w:sz w:val="24"/>
              </w:rPr>
              <w:t>5</w:t>
            </w:r>
            <w:r>
              <w:rPr>
                <w:rFonts w:ascii="Arial" w:hAnsi="Arial" w:cs="Arial"/>
                <w:color w:val="auto"/>
                <w:sz w:val="24"/>
              </w:rPr>
              <w:t xml:space="preserve">, </w:t>
            </w:r>
            <w:r w:rsidR="00D247BD">
              <w:rPr>
                <w:rFonts w:ascii="Arial" w:hAnsi="Arial" w:cs="Arial"/>
                <w:color w:val="auto"/>
                <w:sz w:val="24"/>
              </w:rPr>
              <w:t>17:00 – 18:30</w:t>
            </w:r>
          </w:p>
          <w:p w14:paraId="00083614" w14:textId="4E010B18" w:rsidR="00D247BD" w:rsidRPr="00B72990" w:rsidRDefault="00D247BD" w:rsidP="00332641">
            <w:pPr>
              <w:pStyle w:val="Normal1"/>
              <w:ind w:firstLine="0"/>
              <w:rPr>
                <w:rFonts w:ascii="Arial" w:hAnsi="Arial" w:cs="Arial"/>
                <w:color w:val="auto"/>
                <w:sz w:val="24"/>
              </w:rPr>
            </w:pPr>
          </w:p>
        </w:tc>
      </w:tr>
      <w:tr w:rsidR="00D07E90" w:rsidRPr="00B72990" w14:paraId="3FA57D95" w14:textId="77777777" w:rsidTr="00D149BA">
        <w:tc>
          <w:tcPr>
            <w:tcW w:w="2552" w:type="dxa"/>
            <w:tcMar>
              <w:top w:w="100" w:type="dxa"/>
              <w:left w:w="108" w:type="dxa"/>
              <w:bottom w:w="100" w:type="dxa"/>
              <w:right w:w="108" w:type="dxa"/>
            </w:tcMar>
          </w:tcPr>
          <w:p w14:paraId="21605FD1" w14:textId="77777777" w:rsidR="00D07E90" w:rsidRPr="00B72990" w:rsidRDefault="00D07E90" w:rsidP="00332641">
            <w:pPr>
              <w:pStyle w:val="Normal1"/>
              <w:ind w:firstLine="0"/>
              <w:rPr>
                <w:rFonts w:ascii="Arial" w:hAnsi="Arial" w:cs="Arial"/>
                <w:b/>
                <w:color w:val="auto"/>
                <w:sz w:val="24"/>
              </w:rPr>
            </w:pPr>
            <w:r w:rsidRPr="00B72990">
              <w:rPr>
                <w:rFonts w:ascii="Arial" w:hAnsi="Arial" w:cs="Arial"/>
                <w:b/>
                <w:color w:val="auto"/>
                <w:sz w:val="24"/>
              </w:rPr>
              <w:t>Room and Venue</w:t>
            </w:r>
          </w:p>
        </w:tc>
        <w:tc>
          <w:tcPr>
            <w:tcW w:w="6662" w:type="dxa"/>
            <w:tcMar>
              <w:top w:w="100" w:type="dxa"/>
              <w:left w:w="108" w:type="dxa"/>
              <w:bottom w:w="100" w:type="dxa"/>
              <w:right w:w="108" w:type="dxa"/>
            </w:tcMar>
          </w:tcPr>
          <w:p w14:paraId="09488F13" w14:textId="12C3D20E" w:rsidR="00D07E90" w:rsidRPr="00B72990" w:rsidRDefault="00F2519D" w:rsidP="00D247BD">
            <w:pPr>
              <w:pStyle w:val="Normal1"/>
              <w:ind w:firstLine="0"/>
              <w:rPr>
                <w:rFonts w:ascii="Arial" w:hAnsi="Arial" w:cs="Arial"/>
                <w:color w:val="auto"/>
                <w:sz w:val="24"/>
              </w:rPr>
            </w:pPr>
            <w:r>
              <w:rPr>
                <w:rFonts w:ascii="Arial" w:hAnsi="Arial" w:cs="Arial"/>
                <w:color w:val="auto"/>
                <w:sz w:val="24"/>
              </w:rPr>
              <w:t xml:space="preserve">Arena </w:t>
            </w:r>
            <w:r w:rsidR="00D247BD">
              <w:rPr>
                <w:rFonts w:ascii="Arial" w:hAnsi="Arial" w:cs="Arial"/>
                <w:color w:val="auto"/>
                <w:sz w:val="24"/>
              </w:rPr>
              <w:t>E</w:t>
            </w:r>
          </w:p>
        </w:tc>
      </w:tr>
      <w:tr w:rsidR="00D07E90" w:rsidRPr="00B72990" w14:paraId="19B7FBA2" w14:textId="77777777" w:rsidTr="00D149BA">
        <w:tc>
          <w:tcPr>
            <w:tcW w:w="2552" w:type="dxa"/>
            <w:tcMar>
              <w:top w:w="100" w:type="dxa"/>
              <w:left w:w="108" w:type="dxa"/>
              <w:bottom w:w="100" w:type="dxa"/>
              <w:right w:w="108" w:type="dxa"/>
            </w:tcMar>
          </w:tcPr>
          <w:p w14:paraId="4ACF8103" w14:textId="77777777" w:rsidR="00D07E90" w:rsidRPr="00B72990" w:rsidRDefault="00D07E90" w:rsidP="00332641">
            <w:pPr>
              <w:pStyle w:val="Normal1"/>
              <w:ind w:firstLine="0"/>
              <w:rPr>
                <w:rFonts w:ascii="Arial" w:hAnsi="Arial" w:cs="Arial"/>
                <w:color w:val="auto"/>
                <w:sz w:val="24"/>
              </w:rPr>
            </w:pPr>
            <w:r w:rsidRPr="00B72990">
              <w:rPr>
                <w:rFonts w:ascii="Arial" w:hAnsi="Arial" w:cs="Arial"/>
                <w:b/>
                <w:color w:val="auto"/>
                <w:sz w:val="24"/>
              </w:rPr>
              <w:t>Organizers</w:t>
            </w:r>
          </w:p>
        </w:tc>
        <w:tc>
          <w:tcPr>
            <w:tcW w:w="6662" w:type="dxa"/>
            <w:tcMar>
              <w:top w:w="100" w:type="dxa"/>
              <w:left w:w="108" w:type="dxa"/>
              <w:bottom w:w="100" w:type="dxa"/>
              <w:right w:w="108" w:type="dxa"/>
            </w:tcMar>
          </w:tcPr>
          <w:p w14:paraId="77E1816F" w14:textId="747BAFED" w:rsidR="00431586" w:rsidRDefault="00431586" w:rsidP="00332641">
            <w:pPr>
              <w:pStyle w:val="Normal1"/>
              <w:ind w:firstLine="0"/>
              <w:rPr>
                <w:rFonts w:ascii="Arial" w:hAnsi="Arial" w:cs="Arial"/>
                <w:color w:val="auto"/>
                <w:sz w:val="24"/>
              </w:rPr>
            </w:pPr>
            <w:r>
              <w:rPr>
                <w:rFonts w:ascii="Arial" w:hAnsi="Arial" w:cs="Arial"/>
                <w:color w:val="auto"/>
                <w:sz w:val="24"/>
              </w:rPr>
              <w:t>Collaborators: UNISDR ‘Words into Action’ Working Group on Governance and Accountability</w:t>
            </w:r>
          </w:p>
          <w:p w14:paraId="15953FA9" w14:textId="799E6EBD" w:rsidR="00AF23CD" w:rsidRPr="00B72990" w:rsidRDefault="00AF23CD" w:rsidP="00332641">
            <w:pPr>
              <w:pStyle w:val="Normal1"/>
              <w:ind w:firstLine="0"/>
              <w:rPr>
                <w:rFonts w:ascii="Arial" w:hAnsi="Arial" w:cs="Arial"/>
                <w:color w:val="auto"/>
                <w:sz w:val="24"/>
              </w:rPr>
            </w:pPr>
          </w:p>
        </w:tc>
      </w:tr>
      <w:tr w:rsidR="0034480E" w:rsidRPr="00B72990" w14:paraId="66C7D98D" w14:textId="77777777" w:rsidTr="00D149BA">
        <w:tc>
          <w:tcPr>
            <w:tcW w:w="2552" w:type="dxa"/>
            <w:tcMar>
              <w:top w:w="100" w:type="dxa"/>
              <w:left w:w="108" w:type="dxa"/>
              <w:bottom w:w="100" w:type="dxa"/>
              <w:right w:w="108" w:type="dxa"/>
            </w:tcMar>
          </w:tcPr>
          <w:p w14:paraId="10B0CDF5" w14:textId="027DF04E" w:rsidR="0034480E" w:rsidRPr="00B72990" w:rsidRDefault="0034480E" w:rsidP="00332641">
            <w:pPr>
              <w:pStyle w:val="Normal1"/>
              <w:ind w:firstLine="0"/>
              <w:rPr>
                <w:rFonts w:ascii="Arial" w:hAnsi="Arial" w:cs="Arial"/>
                <w:b/>
                <w:color w:val="auto"/>
                <w:sz w:val="24"/>
              </w:rPr>
            </w:pPr>
            <w:r w:rsidRPr="0017385A">
              <w:rPr>
                <w:rFonts w:ascii="Arial" w:hAnsi="Arial" w:cs="Arial"/>
                <w:b/>
                <w:color w:val="auto"/>
                <w:sz w:val="24"/>
              </w:rPr>
              <w:t>Chair and Co-Chair</w:t>
            </w:r>
          </w:p>
        </w:tc>
        <w:tc>
          <w:tcPr>
            <w:tcW w:w="6662" w:type="dxa"/>
            <w:tcMar>
              <w:top w:w="100" w:type="dxa"/>
              <w:left w:w="108" w:type="dxa"/>
              <w:bottom w:w="100" w:type="dxa"/>
              <w:right w:w="108" w:type="dxa"/>
            </w:tcMar>
          </w:tcPr>
          <w:p w14:paraId="04FEAD59" w14:textId="27A510B0" w:rsidR="0034480E" w:rsidRDefault="0034480E" w:rsidP="0034480E">
            <w:pPr>
              <w:pStyle w:val="Normal1"/>
              <w:ind w:left="44"/>
              <w:jc w:val="both"/>
              <w:rPr>
                <w:rFonts w:ascii="Arial" w:hAnsi="Arial" w:cs="Arial"/>
                <w:i/>
                <w:iCs/>
                <w:color w:val="000000" w:themeColor="text1"/>
                <w:szCs w:val="22"/>
              </w:rPr>
            </w:pPr>
          </w:p>
          <w:p w14:paraId="394CF431" w14:textId="77777777" w:rsidR="0034480E" w:rsidRPr="006D25E1" w:rsidRDefault="0034480E" w:rsidP="0034480E">
            <w:pPr>
              <w:spacing w:after="0" w:line="240" w:lineRule="auto"/>
              <w:rPr>
                <w:rFonts w:ascii="Arial" w:eastAsia="SimSun" w:hAnsi="Arial"/>
                <w:sz w:val="24"/>
                <w:szCs w:val="24"/>
                <w:lang w:eastAsia="ja-JP"/>
              </w:rPr>
            </w:pPr>
            <w:r w:rsidRPr="006D25E1">
              <w:rPr>
                <w:rFonts w:ascii="Arial" w:eastAsia="SimSun" w:hAnsi="Arial"/>
                <w:sz w:val="24"/>
                <w:szCs w:val="24"/>
                <w:lang w:eastAsia="ja-JP"/>
              </w:rPr>
              <w:t xml:space="preserve">H.E. Anura Priyadarshana Yapa, Minister of Disaster Management, SRI LANKA                                                                                                                                                                                                                                                                                            </w:t>
            </w:r>
          </w:p>
          <w:p w14:paraId="5840D2DE" w14:textId="129E313B" w:rsidR="0034480E" w:rsidRPr="006D25E1" w:rsidRDefault="0034480E" w:rsidP="0034480E">
            <w:pPr>
              <w:spacing w:after="0" w:line="240" w:lineRule="auto"/>
              <w:rPr>
                <w:rFonts w:ascii="Arial" w:eastAsia="SimSun" w:hAnsi="Arial"/>
                <w:sz w:val="24"/>
                <w:szCs w:val="24"/>
                <w:lang w:eastAsia="ja-JP"/>
              </w:rPr>
            </w:pPr>
            <w:r w:rsidRPr="006D25E1">
              <w:rPr>
                <w:rFonts w:ascii="Arial" w:eastAsia="SimSun" w:hAnsi="Arial"/>
                <w:sz w:val="24"/>
                <w:szCs w:val="24"/>
                <w:lang w:eastAsia="ja-JP"/>
              </w:rPr>
              <w:t xml:space="preserve">Mr. Robert </w:t>
            </w:r>
            <w:proofErr w:type="spellStart"/>
            <w:r w:rsidRPr="006D25E1">
              <w:rPr>
                <w:rFonts w:ascii="Arial" w:eastAsia="SimSun" w:hAnsi="Arial"/>
                <w:sz w:val="24"/>
                <w:szCs w:val="24"/>
                <w:lang w:eastAsia="ja-JP"/>
              </w:rPr>
              <w:t>Sakic</w:t>
            </w:r>
            <w:proofErr w:type="spellEnd"/>
            <w:r w:rsidRPr="006D25E1">
              <w:rPr>
                <w:rFonts w:ascii="Arial" w:eastAsia="SimSun" w:hAnsi="Arial"/>
                <w:sz w:val="24"/>
                <w:szCs w:val="24"/>
                <w:lang w:eastAsia="ja-JP"/>
              </w:rPr>
              <w:t xml:space="preserve"> </w:t>
            </w:r>
            <w:proofErr w:type="spellStart"/>
            <w:r w:rsidRPr="006D25E1">
              <w:rPr>
                <w:rFonts w:ascii="Arial" w:eastAsia="SimSun" w:hAnsi="Arial"/>
                <w:sz w:val="24"/>
                <w:szCs w:val="24"/>
                <w:lang w:eastAsia="ja-JP"/>
              </w:rPr>
              <w:t>Trogrlic</w:t>
            </w:r>
            <w:proofErr w:type="spellEnd"/>
            <w:r w:rsidRPr="006D25E1">
              <w:rPr>
                <w:rFonts w:ascii="Arial" w:eastAsia="SimSun" w:hAnsi="Arial"/>
                <w:sz w:val="24"/>
                <w:szCs w:val="24"/>
                <w:lang w:eastAsia="ja-JP"/>
              </w:rPr>
              <w:t xml:space="preserve">, PhD student, </w:t>
            </w:r>
            <w:r w:rsidR="00324D4A" w:rsidRPr="00324D4A">
              <w:rPr>
                <w:rFonts w:ascii="Arial" w:eastAsia="SimSun" w:hAnsi="Arial"/>
                <w:sz w:val="24"/>
                <w:szCs w:val="24"/>
                <w:lang w:eastAsia="ja-JP"/>
              </w:rPr>
              <w:t xml:space="preserve">Heriot-Watt University in Edinburgh </w:t>
            </w:r>
            <w:r w:rsidRPr="006D25E1">
              <w:rPr>
                <w:rFonts w:ascii="Arial" w:eastAsia="SimSun" w:hAnsi="Arial"/>
                <w:sz w:val="24"/>
                <w:szCs w:val="24"/>
                <w:lang w:eastAsia="ja-JP"/>
              </w:rPr>
              <w:t xml:space="preserve"> (Children &amp; Youth Group) </w:t>
            </w:r>
          </w:p>
          <w:p w14:paraId="69D9E234" w14:textId="77777777" w:rsidR="0034480E" w:rsidRDefault="0034480E" w:rsidP="00332641">
            <w:pPr>
              <w:pStyle w:val="Normal1"/>
              <w:ind w:firstLine="0"/>
              <w:rPr>
                <w:rFonts w:ascii="Arial" w:hAnsi="Arial" w:cs="Arial"/>
                <w:color w:val="auto"/>
                <w:sz w:val="24"/>
              </w:rPr>
            </w:pPr>
          </w:p>
        </w:tc>
      </w:tr>
      <w:tr w:rsidR="00D07E90" w:rsidRPr="00B72990" w14:paraId="49EE4503" w14:textId="77777777" w:rsidTr="00D149BA">
        <w:tc>
          <w:tcPr>
            <w:tcW w:w="2552" w:type="dxa"/>
            <w:tcMar>
              <w:top w:w="100" w:type="dxa"/>
              <w:left w:w="108" w:type="dxa"/>
              <w:bottom w:w="100" w:type="dxa"/>
              <w:right w:w="108" w:type="dxa"/>
            </w:tcMar>
          </w:tcPr>
          <w:p w14:paraId="423D2309" w14:textId="0685AC61" w:rsidR="00D07E90" w:rsidRPr="00B72990" w:rsidRDefault="00D07E90" w:rsidP="00332641">
            <w:pPr>
              <w:pStyle w:val="Normal1"/>
              <w:ind w:firstLine="0"/>
              <w:rPr>
                <w:rFonts w:ascii="Arial" w:hAnsi="Arial" w:cs="Arial"/>
                <w:color w:val="auto"/>
                <w:sz w:val="24"/>
              </w:rPr>
            </w:pPr>
            <w:r w:rsidRPr="00B72990">
              <w:rPr>
                <w:rFonts w:ascii="Arial" w:hAnsi="Arial" w:cs="Arial"/>
                <w:b/>
                <w:color w:val="auto"/>
                <w:sz w:val="24"/>
              </w:rPr>
              <w:t>Focal Points</w:t>
            </w:r>
          </w:p>
        </w:tc>
        <w:tc>
          <w:tcPr>
            <w:tcW w:w="6662" w:type="dxa"/>
            <w:tcMar>
              <w:top w:w="100" w:type="dxa"/>
              <w:left w:w="108" w:type="dxa"/>
              <w:bottom w:w="100" w:type="dxa"/>
              <w:right w:w="108" w:type="dxa"/>
            </w:tcMar>
          </w:tcPr>
          <w:p w14:paraId="4E0B4617" w14:textId="1BFE0468" w:rsidR="00D07E90" w:rsidRPr="001515A5" w:rsidRDefault="001515A5" w:rsidP="00332641">
            <w:pPr>
              <w:pStyle w:val="Normal1"/>
              <w:ind w:firstLine="0"/>
              <w:rPr>
                <w:rFonts w:ascii="Arial" w:hAnsi="Arial" w:cs="Arial"/>
                <w:color w:val="auto"/>
                <w:sz w:val="24"/>
                <w:lang w:val="es-PA"/>
              </w:rPr>
            </w:pPr>
            <w:r>
              <w:rPr>
                <w:rFonts w:ascii="Arial" w:hAnsi="Arial" w:cs="Arial"/>
                <w:color w:val="auto"/>
                <w:sz w:val="24"/>
                <w:lang w:val="es-PA"/>
              </w:rPr>
              <w:t>Raul Salazar   (</w:t>
            </w:r>
            <w:r w:rsidRPr="001515A5">
              <w:rPr>
                <w:rStyle w:val="Hyperlink"/>
                <w:rFonts w:ascii="Arial" w:hAnsi="Arial" w:cs="Arial"/>
                <w:sz w:val="24"/>
                <w:lang w:val="es-PA"/>
              </w:rPr>
              <w:t>rsalazar@eird.org)</w:t>
            </w:r>
          </w:p>
          <w:p w14:paraId="68BFE288" w14:textId="7B266783" w:rsidR="00F2519D" w:rsidRDefault="00F2519D" w:rsidP="00332641">
            <w:pPr>
              <w:pStyle w:val="Normal1"/>
              <w:ind w:firstLine="0"/>
              <w:rPr>
                <w:rFonts w:ascii="Arial" w:hAnsi="Arial" w:cs="Arial"/>
                <w:color w:val="auto"/>
                <w:sz w:val="24"/>
              </w:rPr>
            </w:pPr>
            <w:r>
              <w:rPr>
                <w:rFonts w:ascii="Arial" w:hAnsi="Arial" w:cs="Arial"/>
                <w:color w:val="auto"/>
                <w:sz w:val="24"/>
              </w:rPr>
              <w:t>Dilanthi Amaratunga</w:t>
            </w:r>
            <w:r w:rsidR="00431586">
              <w:rPr>
                <w:rFonts w:ascii="Arial" w:hAnsi="Arial" w:cs="Arial"/>
                <w:color w:val="auto"/>
                <w:sz w:val="24"/>
              </w:rPr>
              <w:t xml:space="preserve"> (</w:t>
            </w:r>
            <w:hyperlink r:id="rId7" w:history="1">
              <w:r w:rsidR="0062612B" w:rsidRPr="00345C7D">
                <w:rPr>
                  <w:rStyle w:val="Hyperlink"/>
                  <w:rFonts w:ascii="Arial" w:hAnsi="Arial" w:cs="Arial"/>
                  <w:sz w:val="24"/>
                </w:rPr>
                <w:t>d.amaratunga@hud.ac.uk</w:t>
              </w:r>
            </w:hyperlink>
            <w:r w:rsidR="00431586">
              <w:rPr>
                <w:rFonts w:ascii="Arial" w:hAnsi="Arial" w:cs="Arial"/>
                <w:color w:val="auto"/>
                <w:sz w:val="24"/>
              </w:rPr>
              <w:t>)</w:t>
            </w:r>
            <w:r w:rsidR="0062612B">
              <w:rPr>
                <w:rFonts w:ascii="Arial" w:hAnsi="Arial" w:cs="Arial"/>
                <w:color w:val="auto"/>
                <w:sz w:val="24"/>
              </w:rPr>
              <w:t xml:space="preserve"> </w:t>
            </w:r>
          </w:p>
          <w:p w14:paraId="3E75D80D" w14:textId="78C03E76" w:rsidR="00F2519D" w:rsidRPr="00B72990" w:rsidRDefault="00F2519D" w:rsidP="00332641">
            <w:pPr>
              <w:pStyle w:val="Normal1"/>
              <w:ind w:firstLine="0"/>
              <w:rPr>
                <w:rFonts w:ascii="Arial" w:hAnsi="Arial" w:cs="Arial"/>
                <w:color w:val="auto"/>
                <w:sz w:val="24"/>
              </w:rPr>
            </w:pPr>
            <w:r>
              <w:rPr>
                <w:rFonts w:ascii="Arial" w:hAnsi="Arial" w:cs="Arial"/>
                <w:color w:val="auto"/>
                <w:sz w:val="24"/>
              </w:rPr>
              <w:t>Richard Haigh</w:t>
            </w:r>
            <w:r w:rsidR="00431586">
              <w:rPr>
                <w:rFonts w:ascii="Arial" w:hAnsi="Arial" w:cs="Arial"/>
                <w:color w:val="auto"/>
                <w:sz w:val="24"/>
              </w:rPr>
              <w:t xml:space="preserve"> (</w:t>
            </w:r>
            <w:hyperlink r:id="rId8" w:history="1">
              <w:r w:rsidR="0062612B" w:rsidRPr="00345C7D">
                <w:rPr>
                  <w:rStyle w:val="Hyperlink"/>
                  <w:rFonts w:ascii="Arial" w:hAnsi="Arial" w:cs="Arial"/>
                  <w:sz w:val="24"/>
                </w:rPr>
                <w:t>r.haigh@hud.ac.uk</w:t>
              </w:r>
            </w:hyperlink>
            <w:r w:rsidR="00431586">
              <w:rPr>
                <w:rFonts w:ascii="Arial" w:hAnsi="Arial" w:cs="Arial"/>
                <w:color w:val="auto"/>
                <w:sz w:val="24"/>
              </w:rPr>
              <w:t>)</w:t>
            </w:r>
            <w:r w:rsidR="0062612B">
              <w:rPr>
                <w:rFonts w:ascii="Arial" w:hAnsi="Arial" w:cs="Arial"/>
                <w:color w:val="auto"/>
                <w:sz w:val="24"/>
              </w:rPr>
              <w:t xml:space="preserve"> </w:t>
            </w:r>
          </w:p>
        </w:tc>
      </w:tr>
      <w:tr w:rsidR="00D07E90" w:rsidRPr="00B72990" w14:paraId="0C024AC3" w14:textId="77777777" w:rsidTr="00D149BA">
        <w:tc>
          <w:tcPr>
            <w:tcW w:w="2552" w:type="dxa"/>
            <w:tcMar>
              <w:top w:w="100" w:type="dxa"/>
              <w:left w:w="108" w:type="dxa"/>
              <w:bottom w:w="100" w:type="dxa"/>
              <w:right w:w="108" w:type="dxa"/>
            </w:tcMar>
          </w:tcPr>
          <w:p w14:paraId="54DA5935" w14:textId="24627D1C" w:rsidR="00D07E90" w:rsidRPr="00B72990" w:rsidRDefault="00D07E90" w:rsidP="00332641">
            <w:pPr>
              <w:pStyle w:val="Normal1"/>
              <w:ind w:left="44" w:firstLine="0"/>
              <w:rPr>
                <w:rFonts w:ascii="Arial" w:hAnsi="Arial" w:cs="Arial"/>
                <w:color w:val="auto"/>
                <w:sz w:val="24"/>
              </w:rPr>
            </w:pPr>
            <w:r w:rsidRPr="00B72990">
              <w:rPr>
                <w:rFonts w:ascii="Arial" w:hAnsi="Arial" w:cs="Arial"/>
                <w:b/>
                <w:color w:val="auto"/>
                <w:sz w:val="24"/>
              </w:rPr>
              <w:t xml:space="preserve">Background and Rationale </w:t>
            </w:r>
          </w:p>
        </w:tc>
        <w:tc>
          <w:tcPr>
            <w:tcW w:w="6662" w:type="dxa"/>
            <w:tcMar>
              <w:top w:w="100" w:type="dxa"/>
              <w:left w:w="108" w:type="dxa"/>
              <w:bottom w:w="100" w:type="dxa"/>
              <w:right w:w="108" w:type="dxa"/>
            </w:tcMar>
          </w:tcPr>
          <w:p w14:paraId="579D2D47" w14:textId="7F2BFCCC" w:rsidR="00F67E89" w:rsidRPr="00F73A7A" w:rsidRDefault="00F67E89" w:rsidP="00D54E8B">
            <w:pPr>
              <w:spacing w:after="0" w:line="240" w:lineRule="auto"/>
              <w:jc w:val="both"/>
              <w:rPr>
                <w:rFonts w:ascii="Arial" w:hAnsi="Arial"/>
              </w:rPr>
            </w:pPr>
            <w:r w:rsidRPr="00F73A7A">
              <w:rPr>
                <w:rFonts w:ascii="Arial" w:hAnsi="Arial"/>
              </w:rPr>
              <w:t xml:space="preserve">During the decade that followed the adoption of the Hyogo Framework for Action in 2005, calls for greater public, private and civic accountability to reduce risk and vulnerability became increasingly vocal. </w:t>
            </w:r>
          </w:p>
          <w:p w14:paraId="0E4D4DF1" w14:textId="77777777" w:rsidR="00AA7D0D" w:rsidRPr="00F73A7A" w:rsidRDefault="00AA7D0D" w:rsidP="00D54E8B">
            <w:pPr>
              <w:spacing w:after="0" w:line="240" w:lineRule="auto"/>
              <w:jc w:val="both"/>
              <w:rPr>
                <w:rFonts w:ascii="Arial" w:hAnsi="Arial"/>
              </w:rPr>
            </w:pPr>
          </w:p>
          <w:p w14:paraId="4BCEFEB9" w14:textId="54A7AC4F" w:rsidR="00AA7D0D" w:rsidRPr="00F73A7A" w:rsidRDefault="00306315" w:rsidP="00D54E8B">
            <w:pPr>
              <w:autoSpaceDE w:val="0"/>
              <w:autoSpaceDN w:val="0"/>
              <w:spacing w:after="0" w:line="240" w:lineRule="auto"/>
              <w:jc w:val="both"/>
              <w:rPr>
                <w:rFonts w:ascii="Arial" w:hAnsi="Arial"/>
              </w:rPr>
            </w:pPr>
            <w:r w:rsidRPr="00F73A7A">
              <w:rPr>
                <w:rFonts w:ascii="Arial" w:hAnsi="Arial"/>
              </w:rPr>
              <w:t>The</w:t>
            </w:r>
            <w:r w:rsidR="00BF7784" w:rsidRPr="00F73A7A">
              <w:rPr>
                <w:rFonts w:ascii="Arial" w:hAnsi="Arial"/>
              </w:rPr>
              <w:t>se</w:t>
            </w:r>
            <w:r w:rsidRPr="00F73A7A">
              <w:rPr>
                <w:rFonts w:ascii="Arial" w:hAnsi="Arial"/>
              </w:rPr>
              <w:t xml:space="preserve"> </w:t>
            </w:r>
            <w:r w:rsidR="00D54E8B" w:rsidRPr="00F73A7A">
              <w:rPr>
                <w:rFonts w:ascii="Arial" w:hAnsi="Arial"/>
              </w:rPr>
              <w:t xml:space="preserve">calls for recognition </w:t>
            </w:r>
            <w:r w:rsidR="00C51948" w:rsidRPr="00F73A7A">
              <w:rPr>
                <w:rFonts w:ascii="Arial" w:hAnsi="Arial"/>
              </w:rPr>
              <w:t xml:space="preserve">were </w:t>
            </w:r>
            <w:r w:rsidR="000360AB" w:rsidRPr="00F73A7A">
              <w:rPr>
                <w:rFonts w:ascii="Arial" w:hAnsi="Arial"/>
              </w:rPr>
              <w:t xml:space="preserve">explicitly </w:t>
            </w:r>
            <w:r w:rsidR="00D54E8B" w:rsidRPr="00F73A7A">
              <w:rPr>
                <w:rFonts w:ascii="Arial" w:hAnsi="Arial"/>
              </w:rPr>
              <w:t xml:space="preserve">reflected </w:t>
            </w:r>
            <w:r w:rsidR="00BF7784" w:rsidRPr="00F73A7A">
              <w:rPr>
                <w:rFonts w:ascii="Arial" w:hAnsi="Arial"/>
              </w:rPr>
              <w:t xml:space="preserve">in </w:t>
            </w:r>
            <w:r w:rsidR="000360AB" w:rsidRPr="00F73A7A">
              <w:rPr>
                <w:rFonts w:ascii="Arial" w:hAnsi="Arial"/>
              </w:rPr>
              <w:t xml:space="preserve">the Sendai Framework, </w:t>
            </w:r>
            <w:r w:rsidR="00BF7784" w:rsidRPr="00F73A7A">
              <w:rPr>
                <w:rFonts w:ascii="Arial" w:hAnsi="Arial"/>
              </w:rPr>
              <w:t xml:space="preserve">where countries stressed the need to </w:t>
            </w:r>
            <w:r w:rsidR="00C541D6" w:rsidRPr="00F73A7A">
              <w:rPr>
                <w:rFonts w:ascii="Arial" w:hAnsi="Arial"/>
              </w:rPr>
              <w:t>“</w:t>
            </w:r>
            <w:r w:rsidR="00C51948" w:rsidRPr="00F73A7A">
              <w:rPr>
                <w:rFonts w:ascii="Arial" w:hAnsi="Arial"/>
              </w:rPr>
              <w:t>s</w:t>
            </w:r>
            <w:r w:rsidR="000360AB" w:rsidRPr="00F73A7A">
              <w:rPr>
                <w:rFonts w:ascii="Arial" w:hAnsi="Arial"/>
              </w:rPr>
              <w:t>trengthen</w:t>
            </w:r>
            <w:r w:rsidR="00C51948" w:rsidRPr="00F73A7A">
              <w:rPr>
                <w:rFonts w:ascii="Arial" w:hAnsi="Arial"/>
              </w:rPr>
              <w:t xml:space="preserve"> disaster risk governance to manage disaster risk</w:t>
            </w:r>
            <w:r w:rsidR="00C541D6" w:rsidRPr="00F73A7A">
              <w:rPr>
                <w:rFonts w:ascii="Arial" w:hAnsi="Arial"/>
              </w:rPr>
              <w:t>”</w:t>
            </w:r>
            <w:r w:rsidR="00BF7784" w:rsidRPr="00F73A7A">
              <w:rPr>
                <w:rFonts w:ascii="Arial" w:hAnsi="Arial"/>
              </w:rPr>
              <w:t xml:space="preserve"> (see Sendai</w:t>
            </w:r>
            <w:r w:rsidR="00C42F19" w:rsidRPr="00F73A7A">
              <w:rPr>
                <w:rFonts w:ascii="Arial" w:hAnsi="Arial"/>
              </w:rPr>
              <w:t xml:space="preserve"> Framework Priority 2</w:t>
            </w:r>
            <w:r w:rsidR="00BF7784" w:rsidRPr="00F73A7A">
              <w:rPr>
                <w:rFonts w:ascii="Arial" w:hAnsi="Arial"/>
              </w:rPr>
              <w:t>)</w:t>
            </w:r>
            <w:r w:rsidR="00255BF1" w:rsidRPr="00F73A7A">
              <w:rPr>
                <w:rFonts w:ascii="Arial" w:hAnsi="Arial"/>
              </w:rPr>
              <w:t xml:space="preserve">. The </w:t>
            </w:r>
            <w:r w:rsidR="00851E24">
              <w:rPr>
                <w:rFonts w:ascii="Arial" w:hAnsi="Arial"/>
              </w:rPr>
              <w:t>O</w:t>
            </w:r>
            <w:r w:rsidR="00780DCE" w:rsidRPr="00F73A7A">
              <w:rPr>
                <w:rFonts w:ascii="Arial" w:hAnsi="Arial"/>
              </w:rPr>
              <w:t xml:space="preserve">pen-ended </w:t>
            </w:r>
            <w:r w:rsidR="00851E24">
              <w:rPr>
                <w:rFonts w:ascii="Arial" w:hAnsi="Arial"/>
              </w:rPr>
              <w:t>I</w:t>
            </w:r>
            <w:r w:rsidR="00780DCE" w:rsidRPr="00F73A7A">
              <w:rPr>
                <w:rFonts w:ascii="Arial" w:hAnsi="Arial"/>
              </w:rPr>
              <w:t xml:space="preserve">ntergovernmental expert </w:t>
            </w:r>
            <w:r w:rsidR="00851E24">
              <w:rPr>
                <w:rFonts w:ascii="Arial" w:hAnsi="Arial"/>
              </w:rPr>
              <w:t>W</w:t>
            </w:r>
            <w:r w:rsidR="00780DCE" w:rsidRPr="00F73A7A">
              <w:rPr>
                <w:rFonts w:ascii="Arial" w:hAnsi="Arial"/>
              </w:rPr>
              <w:t xml:space="preserve">orking </w:t>
            </w:r>
            <w:r w:rsidR="00851E24">
              <w:rPr>
                <w:rFonts w:ascii="Arial" w:hAnsi="Arial"/>
              </w:rPr>
              <w:t>G</w:t>
            </w:r>
            <w:r w:rsidR="00C0776E" w:rsidRPr="00F73A7A">
              <w:rPr>
                <w:rFonts w:ascii="Arial" w:hAnsi="Arial"/>
              </w:rPr>
              <w:t xml:space="preserve">roup </w:t>
            </w:r>
            <w:r w:rsidR="00780DCE" w:rsidRPr="00F73A7A">
              <w:rPr>
                <w:rFonts w:ascii="Arial" w:hAnsi="Arial"/>
              </w:rPr>
              <w:t>(OIEWG)</w:t>
            </w:r>
            <w:r w:rsidR="00C0776E" w:rsidRPr="00F73A7A">
              <w:rPr>
                <w:rFonts w:ascii="Arial" w:hAnsi="Arial"/>
              </w:rPr>
              <w:t xml:space="preserve"> mandated b</w:t>
            </w:r>
            <w:r w:rsidR="003535F6" w:rsidRPr="00F73A7A">
              <w:rPr>
                <w:rFonts w:ascii="Arial" w:hAnsi="Arial"/>
              </w:rPr>
              <w:t>y the General Assembly to agree on the indicators and terminology relating to disaster risk reduction</w:t>
            </w:r>
            <w:r w:rsidR="00C541D6" w:rsidRPr="00F73A7A">
              <w:rPr>
                <w:rFonts w:ascii="Arial" w:hAnsi="Arial"/>
              </w:rPr>
              <w:t xml:space="preserve"> of the Sendai Framework</w:t>
            </w:r>
            <w:r w:rsidR="00E93AEA" w:rsidRPr="00F73A7A">
              <w:rPr>
                <w:rFonts w:ascii="Arial" w:hAnsi="Arial"/>
              </w:rPr>
              <w:t>,</w:t>
            </w:r>
            <w:r w:rsidR="00C541D6" w:rsidRPr="00F73A7A">
              <w:rPr>
                <w:rFonts w:ascii="Arial" w:hAnsi="Arial"/>
              </w:rPr>
              <w:t xml:space="preserve"> furthered</w:t>
            </w:r>
            <w:r w:rsidR="003535F6" w:rsidRPr="00F73A7A">
              <w:rPr>
                <w:rFonts w:ascii="Arial" w:hAnsi="Arial"/>
              </w:rPr>
              <w:t xml:space="preserve"> the</w:t>
            </w:r>
            <w:r w:rsidR="00780DCE" w:rsidRPr="00F73A7A">
              <w:rPr>
                <w:rFonts w:ascii="Arial" w:hAnsi="Arial"/>
              </w:rPr>
              <w:t xml:space="preserve"> </w:t>
            </w:r>
            <w:r w:rsidR="00C0776E" w:rsidRPr="00F73A7A">
              <w:rPr>
                <w:rFonts w:ascii="Arial" w:hAnsi="Arial"/>
              </w:rPr>
              <w:t xml:space="preserve">definition and the scope of disaster risk governance </w:t>
            </w:r>
            <w:r w:rsidR="00E93AEA" w:rsidRPr="00F73A7A">
              <w:rPr>
                <w:rFonts w:ascii="Arial" w:hAnsi="Arial"/>
              </w:rPr>
              <w:t xml:space="preserve">as </w:t>
            </w:r>
            <w:r w:rsidR="00AA7D0D" w:rsidRPr="00F73A7A">
              <w:rPr>
                <w:rFonts w:ascii="Arial" w:hAnsi="Arial"/>
              </w:rPr>
              <w:t xml:space="preserve">the </w:t>
            </w:r>
            <w:r w:rsidR="00255BF1" w:rsidRPr="00F73A7A">
              <w:rPr>
                <w:rFonts w:ascii="Arial" w:hAnsi="Arial"/>
              </w:rPr>
              <w:t>“</w:t>
            </w:r>
            <w:r w:rsidR="00AA7D0D" w:rsidRPr="00F73A7A">
              <w:rPr>
                <w:rFonts w:ascii="Arial" w:hAnsi="Arial"/>
              </w:rPr>
              <w:t>system of institutions, mechanisms, policy and legal frameworks and other arrangements to guide, coordinate and oversee disaster risk reduction and related areas of policy</w:t>
            </w:r>
            <w:r w:rsidR="00255BF1" w:rsidRPr="00F73A7A">
              <w:rPr>
                <w:rFonts w:ascii="Arial" w:hAnsi="Arial"/>
              </w:rPr>
              <w:t>”</w:t>
            </w:r>
            <w:r w:rsidR="00AA7D0D" w:rsidRPr="00F73A7A">
              <w:rPr>
                <w:rFonts w:ascii="Arial" w:hAnsi="Arial"/>
              </w:rPr>
              <w:t>. Some of the characteristics of good governance in disaster risk</w:t>
            </w:r>
            <w:r w:rsidR="00255BF1" w:rsidRPr="00F73A7A">
              <w:rPr>
                <w:rFonts w:ascii="Arial" w:hAnsi="Arial"/>
              </w:rPr>
              <w:t>, as the working group suggested,</w:t>
            </w:r>
            <w:r w:rsidR="00AA7D0D" w:rsidRPr="00F73A7A">
              <w:rPr>
                <w:rFonts w:ascii="Arial" w:hAnsi="Arial"/>
              </w:rPr>
              <w:t xml:space="preserve"> refer to the need to be </w:t>
            </w:r>
            <w:r w:rsidR="00255BF1" w:rsidRPr="00F73A7A">
              <w:rPr>
                <w:rFonts w:ascii="Arial" w:hAnsi="Arial"/>
              </w:rPr>
              <w:t>“</w:t>
            </w:r>
            <w:r w:rsidR="00AA7D0D" w:rsidRPr="00F73A7A">
              <w:rPr>
                <w:rFonts w:ascii="Arial" w:hAnsi="Arial"/>
              </w:rPr>
              <w:t xml:space="preserve">transparent, inclusive, collective and efficient to reduce existing disaster risks and avoid </w:t>
            </w:r>
            <w:r w:rsidR="00AA7D0D" w:rsidRPr="00F73A7A">
              <w:rPr>
                <w:rFonts w:ascii="Arial" w:hAnsi="Arial"/>
              </w:rPr>
              <w:lastRenderedPageBreak/>
              <w:t>creating new ones</w:t>
            </w:r>
            <w:r w:rsidR="00255BF1" w:rsidRPr="00F73A7A">
              <w:rPr>
                <w:rFonts w:ascii="Arial" w:hAnsi="Arial"/>
              </w:rPr>
              <w:t>”</w:t>
            </w:r>
            <w:r w:rsidR="00AA7D0D" w:rsidRPr="00F73A7A">
              <w:rPr>
                <w:rFonts w:ascii="Arial" w:hAnsi="Arial"/>
              </w:rPr>
              <w:t>.</w:t>
            </w:r>
          </w:p>
          <w:p w14:paraId="3EDFE2AB" w14:textId="77777777" w:rsidR="00C7148E" w:rsidRDefault="00C7148E" w:rsidP="004C19C2">
            <w:pPr>
              <w:spacing w:after="120" w:line="240" w:lineRule="auto"/>
              <w:jc w:val="both"/>
              <w:rPr>
                <w:rFonts w:ascii="Arial" w:hAnsi="Arial"/>
              </w:rPr>
            </w:pPr>
          </w:p>
          <w:p w14:paraId="12F0E5F2" w14:textId="3F8A39BA" w:rsidR="00AA7D0D" w:rsidRPr="00F73A7A" w:rsidRDefault="00C42F19">
            <w:pPr>
              <w:spacing w:after="120" w:line="240" w:lineRule="auto"/>
              <w:jc w:val="both"/>
              <w:rPr>
                <w:rFonts w:ascii="Arial" w:hAnsi="Arial"/>
              </w:rPr>
            </w:pPr>
            <w:r w:rsidRPr="00F73A7A">
              <w:rPr>
                <w:rFonts w:ascii="Arial" w:hAnsi="Arial"/>
              </w:rPr>
              <w:t>As indicated by the Sendai Framework, d</w:t>
            </w:r>
            <w:r w:rsidR="00AA7D0D" w:rsidRPr="00F73A7A">
              <w:rPr>
                <w:rFonts w:ascii="Arial" w:hAnsi="Arial"/>
              </w:rPr>
              <w:t>isaster risk governance at the national, regional and global level</w:t>
            </w:r>
            <w:r w:rsidR="00306315" w:rsidRPr="00F73A7A">
              <w:rPr>
                <w:rFonts w:ascii="Arial" w:hAnsi="Arial"/>
              </w:rPr>
              <w:t>, is</w:t>
            </w:r>
            <w:r w:rsidR="00780DCE" w:rsidRPr="00F73A7A">
              <w:rPr>
                <w:rFonts w:ascii="Arial" w:hAnsi="Arial"/>
              </w:rPr>
              <w:t xml:space="preserve"> </w:t>
            </w:r>
            <w:r w:rsidR="00AA7D0D" w:rsidRPr="00F73A7A">
              <w:rPr>
                <w:rFonts w:ascii="Arial" w:hAnsi="Arial"/>
              </w:rPr>
              <w:t>of great importance for an effective and effici</w:t>
            </w:r>
            <w:r w:rsidR="00306315" w:rsidRPr="00F73A7A">
              <w:rPr>
                <w:rFonts w:ascii="Arial" w:hAnsi="Arial"/>
              </w:rPr>
              <w:t>ent management of disaster risk</w:t>
            </w:r>
            <w:r w:rsidR="00255BF1" w:rsidRPr="00F73A7A">
              <w:rPr>
                <w:rFonts w:ascii="Arial" w:hAnsi="Arial"/>
              </w:rPr>
              <w:t xml:space="preserve">. </w:t>
            </w:r>
            <w:r w:rsidR="00AA7D0D" w:rsidRPr="00F73A7A">
              <w:rPr>
                <w:rFonts w:ascii="Arial" w:hAnsi="Arial"/>
              </w:rPr>
              <w:t xml:space="preserve">Clear vision, plans, competence, guidance and coordination within and across sectors, as well as participation of relevant stakeholders, are </w:t>
            </w:r>
            <w:r w:rsidR="0001250A" w:rsidRPr="00C514BA">
              <w:rPr>
                <w:rFonts w:ascii="Arial" w:eastAsiaTheme="minorEastAsia" w:hAnsi="Arial"/>
              </w:rPr>
              <w:t xml:space="preserve">essential </w:t>
            </w:r>
            <w:r w:rsidRPr="00C514BA">
              <w:rPr>
                <w:rFonts w:ascii="Arial" w:eastAsiaTheme="minorEastAsia" w:hAnsi="Arial"/>
              </w:rPr>
              <w:t xml:space="preserve">elements </w:t>
            </w:r>
            <w:r w:rsidR="0001250A" w:rsidRPr="00C514BA">
              <w:rPr>
                <w:rFonts w:ascii="Arial" w:eastAsiaTheme="minorEastAsia" w:hAnsi="Arial"/>
              </w:rPr>
              <w:t xml:space="preserve">for effective prevention, mitigation, preparedness, response, recovery and rehabilitation. </w:t>
            </w:r>
          </w:p>
          <w:p w14:paraId="6FB36D64" w14:textId="77777777" w:rsidR="008720BC" w:rsidRPr="00F73A7A" w:rsidRDefault="008720BC" w:rsidP="00D54E8B">
            <w:pPr>
              <w:autoSpaceDE w:val="0"/>
              <w:autoSpaceDN w:val="0"/>
              <w:adjustRightInd w:val="0"/>
              <w:spacing w:after="0" w:line="240" w:lineRule="auto"/>
              <w:jc w:val="both"/>
              <w:rPr>
                <w:rFonts w:ascii="Arial" w:hAnsi="Arial"/>
              </w:rPr>
            </w:pPr>
          </w:p>
          <w:p w14:paraId="5B354479" w14:textId="799233FB" w:rsidR="00F67E89" w:rsidRPr="00F73A7A" w:rsidRDefault="00C42F19" w:rsidP="009F7F41">
            <w:pPr>
              <w:spacing w:line="240" w:lineRule="auto"/>
              <w:jc w:val="both"/>
              <w:rPr>
                <w:rFonts w:ascii="Arial" w:eastAsia="Times New Roman" w:hAnsi="Arial" w:cs="Times New Roman"/>
                <w:i/>
                <w:lang w:val="en" w:eastAsia="es-PA"/>
              </w:rPr>
            </w:pPr>
            <w:r w:rsidRPr="00C514BA">
              <w:rPr>
                <w:rFonts w:ascii="Arial" w:hAnsi="Arial"/>
              </w:rPr>
              <w:t>In the same manner</w:t>
            </w:r>
            <w:r w:rsidR="00C541D6" w:rsidRPr="00C514BA">
              <w:rPr>
                <w:rFonts w:ascii="Arial" w:hAnsi="Arial"/>
              </w:rPr>
              <w:t>,</w:t>
            </w:r>
            <w:r w:rsidRPr="00C514BA">
              <w:rPr>
                <w:rFonts w:ascii="Arial" w:hAnsi="Arial"/>
              </w:rPr>
              <w:t xml:space="preserve"> the implementation of these </w:t>
            </w:r>
            <w:r w:rsidR="00851E24">
              <w:rPr>
                <w:rFonts w:ascii="Arial" w:hAnsi="Arial"/>
              </w:rPr>
              <w:t xml:space="preserve">elements </w:t>
            </w:r>
            <w:r w:rsidRPr="00C514BA">
              <w:rPr>
                <w:rFonts w:ascii="Arial" w:hAnsi="Arial"/>
              </w:rPr>
              <w:t xml:space="preserve"> </w:t>
            </w:r>
            <w:r w:rsidR="00C541D6" w:rsidRPr="00C514BA">
              <w:rPr>
                <w:rFonts w:ascii="Arial" w:hAnsi="Arial"/>
              </w:rPr>
              <w:t>through</w:t>
            </w:r>
            <w:r w:rsidRPr="00C514BA">
              <w:rPr>
                <w:rFonts w:ascii="Arial" w:hAnsi="Arial"/>
              </w:rPr>
              <w:t xml:space="preserve"> </w:t>
            </w:r>
            <w:r w:rsidR="00851E24">
              <w:rPr>
                <w:rFonts w:ascii="Arial" w:hAnsi="Arial"/>
              </w:rPr>
              <w:t>an</w:t>
            </w:r>
            <w:r w:rsidRPr="00C514BA">
              <w:rPr>
                <w:rFonts w:ascii="Arial" w:hAnsi="Arial"/>
              </w:rPr>
              <w:t xml:space="preserve"> effec</w:t>
            </w:r>
            <w:r w:rsidR="00121E3A">
              <w:rPr>
                <w:rFonts w:ascii="Arial" w:hAnsi="Arial"/>
              </w:rPr>
              <w:t>ti</w:t>
            </w:r>
            <w:r w:rsidRPr="00C514BA">
              <w:rPr>
                <w:rFonts w:ascii="Arial" w:hAnsi="Arial"/>
              </w:rPr>
              <w:t xml:space="preserve">ve </w:t>
            </w:r>
            <w:r w:rsidR="00C51948" w:rsidRPr="00C514BA">
              <w:rPr>
                <w:rFonts w:ascii="Arial" w:hAnsi="Arial"/>
              </w:rPr>
              <w:t xml:space="preserve"> g</w:t>
            </w:r>
            <w:r w:rsidR="008720BC" w:rsidRPr="00C514BA">
              <w:rPr>
                <w:rFonts w:ascii="Arial" w:hAnsi="Arial"/>
              </w:rPr>
              <w:t>overnance accountability</w:t>
            </w:r>
            <w:r w:rsidR="00851E24">
              <w:rPr>
                <w:rFonts w:ascii="Arial" w:hAnsi="Arial"/>
              </w:rPr>
              <w:t>,</w:t>
            </w:r>
            <w:r w:rsidR="008720BC" w:rsidRPr="00C514BA">
              <w:rPr>
                <w:rFonts w:ascii="Arial" w:hAnsi="Arial"/>
              </w:rPr>
              <w:t xml:space="preserve"> </w:t>
            </w:r>
            <w:r w:rsidR="005F1EF7" w:rsidRPr="00C514BA">
              <w:rPr>
                <w:rFonts w:ascii="Arial" w:hAnsi="Arial"/>
              </w:rPr>
              <w:t xml:space="preserve">is a cross-cutting </w:t>
            </w:r>
            <w:r w:rsidR="00780DCE" w:rsidRPr="00C514BA">
              <w:rPr>
                <w:rFonts w:ascii="Arial" w:hAnsi="Arial"/>
              </w:rPr>
              <w:t xml:space="preserve">issue </w:t>
            </w:r>
            <w:r w:rsidR="005F1EF7" w:rsidRPr="00C514BA">
              <w:rPr>
                <w:rFonts w:ascii="Arial" w:hAnsi="Arial"/>
              </w:rPr>
              <w:t>for which each state has the primary responsibility to ensure that the public are safe and aware of risks, and to prevent and reduce disaster risks, including through international, regional, sub regional, transboun</w:t>
            </w:r>
            <w:r w:rsidR="00C541D6" w:rsidRPr="00C514BA">
              <w:rPr>
                <w:rFonts w:ascii="Arial" w:hAnsi="Arial"/>
              </w:rPr>
              <w:t xml:space="preserve">dary and bilateral cooperation. </w:t>
            </w:r>
            <w:r w:rsidR="00F67E89" w:rsidRPr="00F73A7A">
              <w:rPr>
                <w:rFonts w:ascii="Arial" w:hAnsi="Arial"/>
              </w:rPr>
              <w:t>Ensuring clear accountability and transparency, and avoiding the creation of new and unnecessary risks</w:t>
            </w:r>
            <w:r w:rsidR="002D1DF1" w:rsidRPr="00F73A7A">
              <w:rPr>
                <w:rFonts w:ascii="Arial" w:hAnsi="Arial"/>
              </w:rPr>
              <w:t>,</w:t>
            </w:r>
            <w:r w:rsidR="00F67E89" w:rsidRPr="00F73A7A">
              <w:rPr>
                <w:rFonts w:ascii="Arial" w:hAnsi="Arial"/>
              </w:rPr>
              <w:t xml:space="preserve"> will </w:t>
            </w:r>
            <w:r w:rsidR="0009197F" w:rsidRPr="00F73A7A">
              <w:rPr>
                <w:rFonts w:ascii="Arial" w:hAnsi="Arial"/>
              </w:rPr>
              <w:t xml:space="preserve">then </w:t>
            </w:r>
            <w:r w:rsidR="00F67E89" w:rsidRPr="00F73A7A">
              <w:rPr>
                <w:rFonts w:ascii="Arial" w:hAnsi="Arial"/>
              </w:rPr>
              <w:t>help generate opportunities</w:t>
            </w:r>
            <w:r w:rsidR="005675BF" w:rsidRPr="00F73A7A">
              <w:rPr>
                <w:rFonts w:ascii="Arial" w:hAnsi="Arial"/>
              </w:rPr>
              <w:t xml:space="preserve"> and conditions</w:t>
            </w:r>
            <w:r w:rsidR="00F67E89" w:rsidRPr="00F73A7A">
              <w:rPr>
                <w:rFonts w:ascii="Arial" w:hAnsi="Arial"/>
              </w:rPr>
              <w:t xml:space="preserve"> for a safer and more resilient future. </w:t>
            </w:r>
          </w:p>
          <w:p w14:paraId="5CCC582E" w14:textId="78E10DFB" w:rsidR="001257F1" w:rsidRPr="009C7EF3" w:rsidRDefault="00F67E89" w:rsidP="001257F1">
            <w:pPr>
              <w:spacing w:after="120" w:line="240" w:lineRule="auto"/>
              <w:jc w:val="both"/>
              <w:rPr>
                <w:rFonts w:ascii="Arial" w:hAnsi="Arial"/>
              </w:rPr>
            </w:pPr>
            <w:r w:rsidRPr="00F73A7A">
              <w:rPr>
                <w:rFonts w:ascii="Arial" w:hAnsi="Arial"/>
              </w:rPr>
              <w:t xml:space="preserve">This session will elaborate on some of the challenging issues of </w:t>
            </w:r>
            <w:r w:rsidR="0009197F" w:rsidRPr="00F73A7A">
              <w:rPr>
                <w:rFonts w:ascii="Arial" w:hAnsi="Arial"/>
              </w:rPr>
              <w:t xml:space="preserve">disaster </w:t>
            </w:r>
            <w:r w:rsidRPr="00F73A7A">
              <w:rPr>
                <w:rFonts w:ascii="Arial" w:hAnsi="Arial"/>
              </w:rPr>
              <w:t>risk governance</w:t>
            </w:r>
            <w:r w:rsidR="00064FAF">
              <w:rPr>
                <w:rFonts w:ascii="Arial" w:hAnsi="Arial"/>
              </w:rPr>
              <w:t xml:space="preserve"> </w:t>
            </w:r>
            <w:r w:rsidR="001257F1">
              <w:rPr>
                <w:rFonts w:ascii="Arial" w:eastAsiaTheme="minorEastAsia" w:hAnsi="Arial"/>
              </w:rPr>
              <w:t xml:space="preserve">and also serve as an </w:t>
            </w:r>
            <w:r w:rsidR="001257F1" w:rsidRPr="009C7EF3">
              <w:rPr>
                <w:rFonts w:ascii="Arial" w:hAnsi="Arial"/>
              </w:rPr>
              <w:t>opportunity</w:t>
            </w:r>
            <w:r w:rsidR="001257F1">
              <w:rPr>
                <w:rFonts w:ascii="Arial" w:hAnsi="Arial"/>
              </w:rPr>
              <w:t xml:space="preserve"> to broaden the</w:t>
            </w:r>
            <w:r w:rsidR="00064FAF">
              <w:rPr>
                <w:rFonts w:ascii="Arial" w:hAnsi="Arial"/>
              </w:rPr>
              <w:t xml:space="preserve"> </w:t>
            </w:r>
            <w:r w:rsidR="001257F1">
              <w:rPr>
                <w:rFonts w:ascii="Arial" w:hAnsi="Arial"/>
              </w:rPr>
              <w:t>disaster risk governance</w:t>
            </w:r>
            <w:r w:rsidR="001257F1" w:rsidRPr="009C7EF3">
              <w:rPr>
                <w:rFonts w:ascii="Arial" w:hAnsi="Arial"/>
              </w:rPr>
              <w:t xml:space="preserve"> </w:t>
            </w:r>
            <w:r w:rsidR="00064FAF">
              <w:rPr>
                <w:rFonts w:ascii="Arial" w:hAnsi="Arial"/>
              </w:rPr>
              <w:t>discussion not only from a government perspective</w:t>
            </w:r>
            <w:r w:rsidR="001257F1" w:rsidRPr="009C7EF3">
              <w:rPr>
                <w:rFonts w:ascii="Arial" w:hAnsi="Arial"/>
              </w:rPr>
              <w:t xml:space="preserve"> as the central organizing point </w:t>
            </w:r>
            <w:r w:rsidR="00064FAF">
              <w:rPr>
                <w:rFonts w:ascii="Arial" w:hAnsi="Arial"/>
              </w:rPr>
              <w:t xml:space="preserve">but also </w:t>
            </w:r>
            <w:r w:rsidR="00851E24">
              <w:rPr>
                <w:rFonts w:ascii="Arial" w:hAnsi="Arial"/>
              </w:rPr>
              <w:t>from</w:t>
            </w:r>
            <w:r w:rsidR="001257F1" w:rsidRPr="009C7EF3">
              <w:rPr>
                <w:rFonts w:ascii="Arial" w:hAnsi="Arial"/>
              </w:rPr>
              <w:t xml:space="preserve"> the totality of the ways in which communities are organized.</w:t>
            </w:r>
          </w:p>
          <w:p w14:paraId="2F722184" w14:textId="5CEFEDB9" w:rsidR="00C507A5" w:rsidRPr="00F73A7A" w:rsidRDefault="00C541D6" w:rsidP="00D54E8B">
            <w:pPr>
              <w:spacing w:after="0" w:line="240" w:lineRule="auto"/>
              <w:jc w:val="both"/>
              <w:rPr>
                <w:rFonts w:ascii="Arial" w:hAnsi="Arial"/>
              </w:rPr>
            </w:pPr>
            <w:r w:rsidRPr="00F73A7A">
              <w:rPr>
                <w:rFonts w:ascii="Arial" w:hAnsi="Arial"/>
              </w:rPr>
              <w:t>Most importantly, the session</w:t>
            </w:r>
            <w:r w:rsidR="00F67E89" w:rsidRPr="00F73A7A">
              <w:rPr>
                <w:rFonts w:ascii="Arial" w:hAnsi="Arial"/>
              </w:rPr>
              <w:t xml:space="preserve"> will share </w:t>
            </w:r>
            <w:r w:rsidR="0009197F" w:rsidRPr="00F73A7A">
              <w:rPr>
                <w:rFonts w:ascii="Arial" w:hAnsi="Arial"/>
              </w:rPr>
              <w:t xml:space="preserve">successful </w:t>
            </w:r>
            <w:r w:rsidR="00F67E89" w:rsidRPr="00F73A7A">
              <w:rPr>
                <w:rFonts w:ascii="Arial" w:hAnsi="Arial"/>
              </w:rPr>
              <w:t xml:space="preserve">experiences on this topic and also present the </w:t>
            </w:r>
            <w:r w:rsidR="00C507A5" w:rsidRPr="00F73A7A">
              <w:rPr>
                <w:rFonts w:ascii="Arial" w:hAnsi="Arial"/>
              </w:rPr>
              <w:t xml:space="preserve">first edition of </w:t>
            </w:r>
            <w:r w:rsidR="00CE1E59">
              <w:rPr>
                <w:rFonts w:ascii="Arial" w:hAnsi="Arial"/>
              </w:rPr>
              <w:t>the</w:t>
            </w:r>
            <w:r w:rsidRPr="00F73A7A">
              <w:rPr>
                <w:rFonts w:ascii="Arial" w:hAnsi="Arial"/>
              </w:rPr>
              <w:t xml:space="preserve"> </w:t>
            </w:r>
            <w:r w:rsidR="00CE1E59">
              <w:rPr>
                <w:rFonts w:ascii="Arial" w:hAnsi="Arial"/>
              </w:rPr>
              <w:t xml:space="preserve">guide </w:t>
            </w:r>
            <w:r w:rsidRPr="00F73A7A">
              <w:rPr>
                <w:rFonts w:ascii="Arial" w:hAnsi="Arial"/>
              </w:rPr>
              <w:t>“Words into Action”</w:t>
            </w:r>
            <w:r w:rsidR="00CE1E59">
              <w:rPr>
                <w:rFonts w:ascii="Arial" w:hAnsi="Arial"/>
              </w:rPr>
              <w:t xml:space="preserve">, </w:t>
            </w:r>
            <w:r w:rsidR="00C33404" w:rsidRPr="00F73A7A">
              <w:rPr>
                <w:rFonts w:ascii="Arial" w:hAnsi="Arial"/>
              </w:rPr>
              <w:t>aim</w:t>
            </w:r>
            <w:r w:rsidRPr="00F73A7A">
              <w:rPr>
                <w:rFonts w:ascii="Arial" w:hAnsi="Arial"/>
              </w:rPr>
              <w:t>ing</w:t>
            </w:r>
            <w:r w:rsidR="00C33404" w:rsidRPr="00F73A7A">
              <w:rPr>
                <w:rFonts w:ascii="Arial" w:hAnsi="Arial"/>
              </w:rPr>
              <w:t xml:space="preserve"> to serve as </w:t>
            </w:r>
            <w:r w:rsidR="00657765" w:rsidRPr="00F73A7A">
              <w:rPr>
                <w:rFonts w:ascii="Arial" w:hAnsi="Arial"/>
              </w:rPr>
              <w:t>a contribution</w:t>
            </w:r>
            <w:r w:rsidR="00C33404" w:rsidRPr="00F73A7A">
              <w:rPr>
                <w:rFonts w:ascii="Arial" w:hAnsi="Arial"/>
              </w:rPr>
              <w:t xml:space="preserve"> </w:t>
            </w:r>
            <w:r w:rsidRPr="00F73A7A">
              <w:rPr>
                <w:rFonts w:ascii="Arial" w:hAnsi="Arial"/>
              </w:rPr>
              <w:t>for</w:t>
            </w:r>
            <w:r w:rsidR="00C33404" w:rsidRPr="00F73A7A">
              <w:rPr>
                <w:rFonts w:ascii="Arial" w:hAnsi="Arial"/>
              </w:rPr>
              <w:t xml:space="preserve"> </w:t>
            </w:r>
            <w:r w:rsidR="00657765" w:rsidRPr="00F73A7A">
              <w:rPr>
                <w:rFonts w:ascii="Arial" w:hAnsi="Arial"/>
              </w:rPr>
              <w:t xml:space="preserve">countries for </w:t>
            </w:r>
            <w:r w:rsidR="00C33404" w:rsidRPr="00F73A7A">
              <w:rPr>
                <w:rFonts w:ascii="Arial" w:hAnsi="Arial"/>
              </w:rPr>
              <w:t>the implementation</w:t>
            </w:r>
            <w:r w:rsidRPr="00F73A7A">
              <w:rPr>
                <w:rFonts w:ascii="Arial" w:hAnsi="Arial"/>
              </w:rPr>
              <w:t xml:space="preserve"> of the Sendai Framework. The</w:t>
            </w:r>
            <w:r w:rsidR="0009197F" w:rsidRPr="00F73A7A">
              <w:rPr>
                <w:rFonts w:ascii="Arial" w:hAnsi="Arial"/>
              </w:rPr>
              <w:t xml:space="preserve"> first</w:t>
            </w:r>
            <w:r w:rsidRPr="00F73A7A">
              <w:rPr>
                <w:rFonts w:ascii="Arial" w:hAnsi="Arial"/>
              </w:rPr>
              <w:t xml:space="preserve"> edition of  the  Words into Action</w:t>
            </w:r>
            <w:r w:rsidR="00E57DE1" w:rsidRPr="00F73A7A">
              <w:rPr>
                <w:rFonts w:ascii="Arial" w:hAnsi="Arial"/>
              </w:rPr>
              <w:t>,</w:t>
            </w:r>
            <w:r w:rsidR="00657765" w:rsidRPr="00F73A7A">
              <w:rPr>
                <w:rFonts w:ascii="Arial" w:hAnsi="Arial"/>
              </w:rPr>
              <w:t xml:space="preserve"> </w:t>
            </w:r>
            <w:r w:rsidR="00C33404" w:rsidRPr="00F73A7A">
              <w:rPr>
                <w:rFonts w:ascii="Arial" w:hAnsi="Arial"/>
              </w:rPr>
              <w:t xml:space="preserve">will </w:t>
            </w:r>
            <w:r w:rsidR="0009197F" w:rsidRPr="00F73A7A">
              <w:rPr>
                <w:rFonts w:ascii="Arial" w:hAnsi="Arial"/>
              </w:rPr>
              <w:t xml:space="preserve">address the </w:t>
            </w:r>
            <w:r w:rsidR="00C33404" w:rsidRPr="00F73A7A">
              <w:rPr>
                <w:rFonts w:ascii="Arial" w:hAnsi="Arial"/>
              </w:rPr>
              <w:t>key area of “</w:t>
            </w:r>
            <w:r w:rsidR="00F67E89" w:rsidRPr="00F73A7A">
              <w:rPr>
                <w:rFonts w:ascii="Arial" w:hAnsi="Arial"/>
              </w:rPr>
              <w:t>D</w:t>
            </w:r>
            <w:r w:rsidR="002914F1" w:rsidRPr="00F73A7A">
              <w:rPr>
                <w:rFonts w:ascii="Arial" w:hAnsi="Arial"/>
              </w:rPr>
              <w:t>isaster Risk Reduction (D</w:t>
            </w:r>
            <w:r w:rsidR="00F67E89" w:rsidRPr="00F73A7A">
              <w:rPr>
                <w:rFonts w:ascii="Arial" w:hAnsi="Arial"/>
              </w:rPr>
              <w:t>RR</w:t>
            </w:r>
            <w:r w:rsidR="002914F1" w:rsidRPr="00F73A7A">
              <w:rPr>
                <w:rFonts w:ascii="Arial" w:hAnsi="Arial"/>
              </w:rPr>
              <w:t>)</w:t>
            </w:r>
            <w:r w:rsidR="00F67E89" w:rsidRPr="00F73A7A">
              <w:rPr>
                <w:rFonts w:ascii="Arial" w:hAnsi="Arial"/>
              </w:rPr>
              <w:t xml:space="preserve"> Governance and Accountability</w:t>
            </w:r>
            <w:r w:rsidR="00657765" w:rsidRPr="00F73A7A">
              <w:rPr>
                <w:rFonts w:ascii="Arial" w:hAnsi="Arial"/>
              </w:rPr>
              <w:t xml:space="preserve">”. </w:t>
            </w:r>
            <w:r w:rsidR="00431586" w:rsidRPr="00F73A7A">
              <w:rPr>
                <w:rFonts w:ascii="Arial" w:hAnsi="Arial"/>
              </w:rPr>
              <w:t xml:space="preserve">The session will also </w:t>
            </w:r>
            <w:r w:rsidR="00AA0560" w:rsidRPr="00F73A7A">
              <w:rPr>
                <w:rFonts w:ascii="Arial" w:hAnsi="Arial"/>
              </w:rPr>
              <w:t>consider areas of import</w:t>
            </w:r>
            <w:r w:rsidR="00657765" w:rsidRPr="00F73A7A">
              <w:rPr>
                <w:rFonts w:ascii="Arial" w:hAnsi="Arial"/>
              </w:rPr>
              <w:t>ance that will inform further editions of the “Words into Action” in the implementation of the Sendai Framework</w:t>
            </w:r>
            <w:r w:rsidR="00AA0560" w:rsidRPr="00F73A7A">
              <w:rPr>
                <w:rFonts w:ascii="Arial" w:hAnsi="Arial"/>
              </w:rPr>
              <w:t xml:space="preserve">, such as the need </w:t>
            </w:r>
            <w:r w:rsidR="00A663BC" w:rsidRPr="00F73A7A">
              <w:rPr>
                <w:rFonts w:ascii="Arial" w:hAnsi="Arial"/>
              </w:rPr>
              <w:t xml:space="preserve">for </w:t>
            </w:r>
            <w:r w:rsidR="00AA0560" w:rsidRPr="00F73A7A">
              <w:rPr>
                <w:rFonts w:ascii="Arial" w:hAnsi="Arial"/>
              </w:rPr>
              <w:t>and how-to improve understanding of risk governance at the local level, including accountability and transparency, stakeholder par</w:t>
            </w:r>
            <w:r w:rsidR="00657765" w:rsidRPr="00F73A7A">
              <w:rPr>
                <w:rFonts w:ascii="Arial" w:hAnsi="Arial"/>
              </w:rPr>
              <w:t>ticipation and public awareness</w:t>
            </w:r>
            <w:r w:rsidR="00C507A5" w:rsidRPr="00F73A7A">
              <w:rPr>
                <w:rFonts w:ascii="Arial" w:hAnsi="Arial"/>
              </w:rPr>
              <w:t>.</w:t>
            </w:r>
            <w:r w:rsidR="00657765" w:rsidRPr="00F73A7A">
              <w:rPr>
                <w:rFonts w:ascii="Arial" w:hAnsi="Arial"/>
              </w:rPr>
              <w:t xml:space="preserve"> </w:t>
            </w:r>
          </w:p>
          <w:p w14:paraId="3D193B3C" w14:textId="6ECF7B09" w:rsidR="00D07E90" w:rsidRPr="00F73A7A" w:rsidRDefault="00D07E90" w:rsidP="00D54E8B">
            <w:pPr>
              <w:pStyle w:val="Normal1"/>
              <w:ind w:firstLine="0"/>
              <w:jc w:val="both"/>
              <w:rPr>
                <w:rFonts w:ascii="Arial" w:hAnsi="Arial" w:cs="Arial"/>
                <w:color w:val="auto"/>
                <w:szCs w:val="22"/>
              </w:rPr>
            </w:pPr>
          </w:p>
        </w:tc>
      </w:tr>
      <w:tr w:rsidR="00D07E90" w:rsidRPr="00B72990" w14:paraId="6B262FEF" w14:textId="77777777" w:rsidTr="00D149BA">
        <w:tc>
          <w:tcPr>
            <w:tcW w:w="2552" w:type="dxa"/>
            <w:tcMar>
              <w:top w:w="100" w:type="dxa"/>
              <w:left w:w="108" w:type="dxa"/>
              <w:bottom w:w="100" w:type="dxa"/>
              <w:right w:w="108" w:type="dxa"/>
            </w:tcMar>
          </w:tcPr>
          <w:p w14:paraId="4EFAC5C6" w14:textId="77777777" w:rsidR="00D07E90" w:rsidRPr="00B72990" w:rsidRDefault="00D07E90" w:rsidP="00332641">
            <w:pPr>
              <w:pStyle w:val="Normal1"/>
              <w:ind w:firstLine="0"/>
              <w:rPr>
                <w:rFonts w:ascii="Arial" w:hAnsi="Arial" w:cs="Arial"/>
                <w:color w:val="auto"/>
                <w:sz w:val="24"/>
              </w:rPr>
            </w:pPr>
            <w:r w:rsidRPr="00B72990">
              <w:rPr>
                <w:rFonts w:ascii="Arial" w:hAnsi="Arial" w:cs="Arial"/>
                <w:b/>
                <w:color w:val="auto"/>
                <w:sz w:val="24"/>
              </w:rPr>
              <w:lastRenderedPageBreak/>
              <w:t xml:space="preserve">Session Objectives </w:t>
            </w:r>
          </w:p>
        </w:tc>
        <w:tc>
          <w:tcPr>
            <w:tcW w:w="6662" w:type="dxa"/>
            <w:tcMar>
              <w:top w:w="100" w:type="dxa"/>
              <w:left w:w="108" w:type="dxa"/>
              <w:bottom w:w="100" w:type="dxa"/>
              <w:right w:w="108" w:type="dxa"/>
            </w:tcMar>
          </w:tcPr>
          <w:p w14:paraId="058219D8" w14:textId="7A4D7801" w:rsidR="007E16AB" w:rsidRPr="00F73A7A" w:rsidRDefault="00F2519D" w:rsidP="001530D0">
            <w:pPr>
              <w:pStyle w:val="Normal1"/>
              <w:ind w:firstLine="0"/>
              <w:jc w:val="both"/>
              <w:rPr>
                <w:rFonts w:ascii="Arial" w:hAnsi="Arial" w:cs="Arial"/>
                <w:color w:val="auto"/>
                <w:szCs w:val="22"/>
              </w:rPr>
            </w:pPr>
            <w:r w:rsidRPr="00F73A7A">
              <w:rPr>
                <w:rFonts w:ascii="Arial" w:hAnsi="Arial" w:cs="Arial"/>
                <w:color w:val="auto"/>
                <w:szCs w:val="22"/>
              </w:rPr>
              <w:t xml:space="preserve">Share and gain input on </w:t>
            </w:r>
            <w:r w:rsidR="008C0D99" w:rsidRPr="00F73A7A">
              <w:rPr>
                <w:rFonts w:ascii="Arial" w:hAnsi="Arial" w:cs="Arial"/>
                <w:color w:val="auto"/>
                <w:szCs w:val="22"/>
              </w:rPr>
              <w:t>effective</w:t>
            </w:r>
            <w:r w:rsidR="00A663BC" w:rsidRPr="00F73A7A">
              <w:rPr>
                <w:rFonts w:ascii="Arial" w:hAnsi="Arial" w:cs="Arial"/>
                <w:color w:val="auto"/>
                <w:szCs w:val="22"/>
              </w:rPr>
              <w:t xml:space="preserve"> </w:t>
            </w:r>
            <w:r w:rsidRPr="00F73A7A">
              <w:rPr>
                <w:rFonts w:ascii="Arial" w:hAnsi="Arial" w:cs="Arial"/>
                <w:color w:val="auto"/>
                <w:szCs w:val="22"/>
              </w:rPr>
              <w:t>DRR governance</w:t>
            </w:r>
            <w:r w:rsidR="008C0D99" w:rsidRPr="00F73A7A">
              <w:rPr>
                <w:rFonts w:ascii="Arial" w:hAnsi="Arial" w:cs="Arial"/>
                <w:color w:val="auto"/>
                <w:szCs w:val="22"/>
              </w:rPr>
              <w:t xml:space="preserve"> and</w:t>
            </w:r>
            <w:r w:rsidR="00AA0560" w:rsidRPr="00F73A7A">
              <w:rPr>
                <w:rFonts w:ascii="Arial" w:hAnsi="Arial" w:cs="Arial"/>
                <w:color w:val="auto"/>
                <w:szCs w:val="22"/>
              </w:rPr>
              <w:t xml:space="preserve"> accountability</w:t>
            </w:r>
            <w:r w:rsidR="00DF0F7A" w:rsidRPr="00F73A7A">
              <w:rPr>
                <w:rFonts w:ascii="Arial" w:hAnsi="Arial" w:cs="Arial"/>
                <w:color w:val="auto"/>
                <w:szCs w:val="22"/>
              </w:rPr>
              <w:t xml:space="preserve"> </w:t>
            </w:r>
            <w:r w:rsidR="0048449A" w:rsidRPr="00F73A7A">
              <w:rPr>
                <w:rFonts w:ascii="Arial" w:hAnsi="Arial" w:cs="Arial"/>
                <w:color w:val="auto"/>
                <w:szCs w:val="22"/>
              </w:rPr>
              <w:t xml:space="preserve">approaches for central governments. The session will </w:t>
            </w:r>
            <w:r w:rsidRPr="00F73A7A">
              <w:rPr>
                <w:rFonts w:ascii="Arial" w:hAnsi="Arial" w:cs="Arial"/>
                <w:color w:val="auto"/>
                <w:szCs w:val="22"/>
              </w:rPr>
              <w:t>help countries and partners to move ahead with implementation of the Sendai Framework</w:t>
            </w:r>
            <w:r w:rsidR="00533A2F" w:rsidRPr="00F73A7A">
              <w:rPr>
                <w:rFonts w:ascii="Arial" w:hAnsi="Arial" w:cs="Arial"/>
                <w:color w:val="auto"/>
                <w:szCs w:val="22"/>
              </w:rPr>
              <w:t xml:space="preserve">, in particular </w:t>
            </w:r>
            <w:r w:rsidR="00DF0F7A" w:rsidRPr="00F73A7A">
              <w:rPr>
                <w:rFonts w:ascii="Arial" w:hAnsi="Arial" w:cs="Arial"/>
                <w:color w:val="auto"/>
                <w:szCs w:val="22"/>
              </w:rPr>
              <w:t xml:space="preserve">priority 2 and in support of </w:t>
            </w:r>
            <w:r w:rsidR="009511BC">
              <w:rPr>
                <w:rFonts w:ascii="Arial" w:hAnsi="Arial" w:cs="Arial"/>
                <w:color w:val="auto"/>
                <w:szCs w:val="22"/>
              </w:rPr>
              <w:t xml:space="preserve">the </w:t>
            </w:r>
            <w:r w:rsidR="00DF0F7A" w:rsidRPr="00F73A7A">
              <w:rPr>
                <w:rFonts w:ascii="Arial" w:hAnsi="Arial" w:cs="Arial"/>
                <w:color w:val="auto"/>
                <w:szCs w:val="22"/>
              </w:rPr>
              <w:t xml:space="preserve">Sendai Framework </w:t>
            </w:r>
            <w:r w:rsidR="00533A2F" w:rsidRPr="00F73A7A">
              <w:rPr>
                <w:rFonts w:ascii="Arial" w:hAnsi="Arial" w:cs="Arial"/>
                <w:color w:val="auto"/>
                <w:szCs w:val="22"/>
              </w:rPr>
              <w:t>Target “e”</w:t>
            </w:r>
            <w:r w:rsidR="009511BC">
              <w:rPr>
                <w:rFonts w:ascii="Arial" w:hAnsi="Arial" w:cs="Arial"/>
                <w:color w:val="auto"/>
                <w:szCs w:val="22"/>
              </w:rPr>
              <w:t xml:space="preserve"> to be completed by 2020</w:t>
            </w:r>
            <w:r w:rsidR="001530D0" w:rsidRPr="00F73A7A">
              <w:rPr>
                <w:rFonts w:ascii="Arial" w:hAnsi="Arial" w:cs="Arial"/>
                <w:color w:val="auto"/>
                <w:szCs w:val="22"/>
              </w:rPr>
              <w:t>.</w:t>
            </w:r>
          </w:p>
        </w:tc>
      </w:tr>
      <w:tr w:rsidR="00D07E90" w:rsidRPr="00B72990" w14:paraId="264F3886" w14:textId="77777777" w:rsidTr="00D149BA">
        <w:tc>
          <w:tcPr>
            <w:tcW w:w="2552" w:type="dxa"/>
            <w:tcMar>
              <w:top w:w="100" w:type="dxa"/>
              <w:left w:w="108" w:type="dxa"/>
              <w:bottom w:w="100" w:type="dxa"/>
              <w:right w:w="108" w:type="dxa"/>
            </w:tcMar>
          </w:tcPr>
          <w:p w14:paraId="3309D411" w14:textId="77777777" w:rsidR="00D07E90" w:rsidRPr="00B72990" w:rsidRDefault="00D07E90" w:rsidP="00332641">
            <w:pPr>
              <w:pStyle w:val="Normal1"/>
              <w:ind w:left="44" w:firstLine="0"/>
              <w:rPr>
                <w:rFonts w:ascii="Arial" w:hAnsi="Arial" w:cs="Arial"/>
                <w:color w:val="auto"/>
                <w:sz w:val="24"/>
              </w:rPr>
            </w:pPr>
            <w:r w:rsidRPr="00B72990">
              <w:rPr>
                <w:rFonts w:ascii="Arial" w:hAnsi="Arial" w:cs="Arial"/>
                <w:b/>
                <w:color w:val="auto"/>
                <w:sz w:val="24"/>
              </w:rPr>
              <w:t xml:space="preserve">Discussion agenda and structure </w:t>
            </w:r>
          </w:p>
        </w:tc>
        <w:tc>
          <w:tcPr>
            <w:tcW w:w="6662" w:type="dxa"/>
            <w:tcMar>
              <w:top w:w="100" w:type="dxa"/>
              <w:left w:w="108" w:type="dxa"/>
              <w:bottom w:w="100" w:type="dxa"/>
              <w:right w:w="108" w:type="dxa"/>
            </w:tcMar>
          </w:tcPr>
          <w:p w14:paraId="0C213EA7" w14:textId="2426E439" w:rsidR="00E909C9" w:rsidRPr="00F73A7A" w:rsidRDefault="00E909C9" w:rsidP="00332641">
            <w:pPr>
              <w:pStyle w:val="Normal1"/>
              <w:numPr>
                <w:ilvl w:val="0"/>
                <w:numId w:val="6"/>
              </w:numPr>
              <w:rPr>
                <w:rFonts w:ascii="Arial" w:hAnsi="Arial" w:cs="Arial"/>
                <w:iCs/>
                <w:color w:val="auto"/>
                <w:szCs w:val="22"/>
              </w:rPr>
            </w:pPr>
            <w:r w:rsidRPr="00F73A7A">
              <w:rPr>
                <w:rFonts w:ascii="Arial" w:hAnsi="Arial" w:cs="Arial"/>
                <w:iCs/>
                <w:color w:val="auto"/>
                <w:szCs w:val="22"/>
              </w:rPr>
              <w:t>Key issues</w:t>
            </w:r>
            <w:r w:rsidR="000E3700" w:rsidRPr="00F73A7A">
              <w:rPr>
                <w:rFonts w:ascii="Arial" w:hAnsi="Arial" w:cs="Arial"/>
                <w:iCs/>
                <w:color w:val="auto"/>
                <w:szCs w:val="22"/>
              </w:rPr>
              <w:t xml:space="preserve"> to implement priority 2 of the Sendai Framework and</w:t>
            </w:r>
            <w:r w:rsidRPr="00F73A7A">
              <w:rPr>
                <w:rFonts w:ascii="Arial" w:hAnsi="Arial" w:cs="Arial"/>
                <w:iCs/>
                <w:color w:val="auto"/>
                <w:szCs w:val="22"/>
              </w:rPr>
              <w:t xml:space="preserve"> in support</w:t>
            </w:r>
            <w:r w:rsidR="000E3700" w:rsidRPr="00F73A7A">
              <w:rPr>
                <w:rFonts w:ascii="Arial" w:hAnsi="Arial" w:cs="Arial"/>
                <w:iCs/>
                <w:color w:val="auto"/>
                <w:szCs w:val="22"/>
              </w:rPr>
              <w:t xml:space="preserve"> of</w:t>
            </w:r>
            <w:r w:rsidRPr="00F73A7A">
              <w:rPr>
                <w:rFonts w:ascii="Arial" w:hAnsi="Arial" w:cs="Arial"/>
                <w:iCs/>
                <w:color w:val="auto"/>
                <w:szCs w:val="22"/>
              </w:rPr>
              <w:t xml:space="preserve"> the 2020 target of the Sendai Framework by improving DRR </w:t>
            </w:r>
            <w:r w:rsidR="0048449A" w:rsidRPr="00F73A7A">
              <w:rPr>
                <w:rFonts w:ascii="Arial" w:hAnsi="Arial" w:cs="Arial"/>
                <w:iCs/>
                <w:color w:val="auto"/>
                <w:szCs w:val="22"/>
              </w:rPr>
              <w:t>g</w:t>
            </w:r>
            <w:r w:rsidRPr="00F73A7A">
              <w:rPr>
                <w:rFonts w:ascii="Arial" w:hAnsi="Arial" w:cs="Arial"/>
                <w:iCs/>
                <w:color w:val="auto"/>
                <w:szCs w:val="22"/>
              </w:rPr>
              <w:t>overnance</w:t>
            </w:r>
            <w:r w:rsidR="0048449A" w:rsidRPr="00F73A7A">
              <w:rPr>
                <w:rFonts w:ascii="Arial" w:hAnsi="Arial" w:cs="Arial"/>
                <w:iCs/>
                <w:color w:val="auto"/>
                <w:szCs w:val="22"/>
              </w:rPr>
              <w:t xml:space="preserve"> and</w:t>
            </w:r>
            <w:r w:rsidRPr="00F73A7A">
              <w:rPr>
                <w:rFonts w:ascii="Arial" w:hAnsi="Arial" w:cs="Arial"/>
                <w:iCs/>
                <w:color w:val="auto"/>
                <w:szCs w:val="22"/>
              </w:rPr>
              <w:t xml:space="preserve"> accountability</w:t>
            </w:r>
            <w:r w:rsidR="00F73A7A">
              <w:rPr>
                <w:rFonts w:ascii="Arial" w:hAnsi="Arial" w:cs="Arial"/>
                <w:iCs/>
                <w:color w:val="auto"/>
                <w:szCs w:val="22"/>
              </w:rPr>
              <w:t>.</w:t>
            </w:r>
          </w:p>
          <w:p w14:paraId="0AEF5696" w14:textId="5D098AE9" w:rsidR="00E909C9" w:rsidRPr="00F73A7A" w:rsidRDefault="00E909C9" w:rsidP="00332641">
            <w:pPr>
              <w:pStyle w:val="Normal1"/>
              <w:numPr>
                <w:ilvl w:val="0"/>
                <w:numId w:val="6"/>
              </w:numPr>
              <w:rPr>
                <w:rFonts w:ascii="Arial" w:hAnsi="Arial" w:cs="Arial"/>
                <w:iCs/>
                <w:color w:val="auto"/>
                <w:szCs w:val="22"/>
              </w:rPr>
            </w:pPr>
            <w:r w:rsidRPr="00F73A7A">
              <w:rPr>
                <w:rFonts w:ascii="Arial" w:hAnsi="Arial" w:cs="Arial"/>
                <w:iCs/>
                <w:color w:val="auto"/>
                <w:szCs w:val="22"/>
              </w:rPr>
              <w:t xml:space="preserve">Briefing on </w:t>
            </w:r>
            <w:r w:rsidR="00C507A5" w:rsidRPr="00F73A7A">
              <w:rPr>
                <w:rFonts w:ascii="Arial" w:hAnsi="Arial" w:cs="Arial"/>
                <w:iCs/>
                <w:color w:val="auto"/>
                <w:szCs w:val="22"/>
              </w:rPr>
              <w:t xml:space="preserve">the first edition of the </w:t>
            </w:r>
            <w:r w:rsidRPr="00F73A7A">
              <w:rPr>
                <w:rFonts w:ascii="Arial" w:hAnsi="Arial" w:cs="Arial"/>
                <w:iCs/>
                <w:color w:val="auto"/>
                <w:szCs w:val="22"/>
              </w:rPr>
              <w:t>Words into Action</w:t>
            </w:r>
            <w:r w:rsidR="00C507A5" w:rsidRPr="00F73A7A">
              <w:rPr>
                <w:rFonts w:ascii="Arial" w:hAnsi="Arial" w:cs="Arial"/>
                <w:iCs/>
                <w:color w:val="auto"/>
                <w:szCs w:val="22"/>
              </w:rPr>
              <w:t xml:space="preserve"> Guide</w:t>
            </w:r>
            <w:r w:rsidRPr="00F73A7A">
              <w:rPr>
                <w:rFonts w:ascii="Arial" w:hAnsi="Arial" w:cs="Arial"/>
                <w:iCs/>
                <w:color w:val="auto"/>
                <w:szCs w:val="22"/>
              </w:rPr>
              <w:t xml:space="preserve"> – </w:t>
            </w:r>
            <w:r w:rsidR="00A663BC" w:rsidRPr="00F73A7A">
              <w:rPr>
                <w:rFonts w:ascii="Arial" w:hAnsi="Arial" w:cs="Arial"/>
                <w:iCs/>
                <w:color w:val="auto"/>
                <w:szCs w:val="22"/>
              </w:rPr>
              <w:t xml:space="preserve">the </w:t>
            </w:r>
            <w:r w:rsidRPr="00F73A7A">
              <w:rPr>
                <w:rFonts w:ascii="Arial" w:hAnsi="Arial" w:cs="Arial"/>
                <w:iCs/>
                <w:color w:val="auto"/>
                <w:szCs w:val="22"/>
              </w:rPr>
              <w:t xml:space="preserve">Sendai Framework’s implementation guide for governance and accountability and the implementation of </w:t>
            </w:r>
            <w:r w:rsidR="00A663BC" w:rsidRPr="00F73A7A">
              <w:rPr>
                <w:rFonts w:ascii="Arial" w:hAnsi="Arial" w:cs="Arial"/>
                <w:iCs/>
                <w:color w:val="auto"/>
                <w:szCs w:val="22"/>
              </w:rPr>
              <w:t xml:space="preserve">the </w:t>
            </w:r>
            <w:r w:rsidRPr="00F73A7A">
              <w:rPr>
                <w:rFonts w:ascii="Arial" w:hAnsi="Arial" w:cs="Arial"/>
                <w:iCs/>
                <w:color w:val="auto"/>
                <w:szCs w:val="22"/>
              </w:rPr>
              <w:t>Sendai Framewor</w:t>
            </w:r>
            <w:r w:rsidR="00F73A7A">
              <w:rPr>
                <w:rFonts w:ascii="Arial" w:hAnsi="Arial" w:cs="Arial"/>
                <w:iCs/>
                <w:color w:val="auto"/>
                <w:szCs w:val="22"/>
              </w:rPr>
              <w:t>k – Approach and key components.</w:t>
            </w:r>
          </w:p>
          <w:p w14:paraId="7EE7F0C2" w14:textId="0C413D0B" w:rsidR="00AA0560" w:rsidRPr="00F73A7A" w:rsidRDefault="00E909C9" w:rsidP="00332641">
            <w:pPr>
              <w:pStyle w:val="Normal1"/>
              <w:numPr>
                <w:ilvl w:val="0"/>
                <w:numId w:val="6"/>
              </w:numPr>
              <w:rPr>
                <w:rFonts w:ascii="Arial" w:hAnsi="Arial" w:cs="Arial"/>
                <w:iCs/>
                <w:color w:val="auto"/>
                <w:szCs w:val="22"/>
              </w:rPr>
            </w:pPr>
            <w:r w:rsidRPr="00F73A7A">
              <w:rPr>
                <w:rFonts w:ascii="Arial" w:hAnsi="Arial" w:cs="Arial"/>
                <w:iCs/>
                <w:color w:val="auto"/>
                <w:szCs w:val="22"/>
              </w:rPr>
              <w:lastRenderedPageBreak/>
              <w:t>Sharing of country examples and case studies</w:t>
            </w:r>
            <w:r w:rsidR="00F73A7A">
              <w:rPr>
                <w:rFonts w:ascii="Arial" w:hAnsi="Arial" w:cs="Arial"/>
                <w:iCs/>
                <w:color w:val="auto"/>
                <w:szCs w:val="22"/>
              </w:rPr>
              <w:t>.</w:t>
            </w:r>
          </w:p>
          <w:p w14:paraId="3E35857F" w14:textId="24E5502B" w:rsidR="00D07E90" w:rsidRPr="00B72990" w:rsidRDefault="00AA0560" w:rsidP="00332641">
            <w:pPr>
              <w:pStyle w:val="Normal1"/>
              <w:numPr>
                <w:ilvl w:val="0"/>
                <w:numId w:val="6"/>
              </w:numPr>
              <w:rPr>
                <w:rFonts w:ascii="Arial" w:hAnsi="Arial" w:cs="Arial"/>
                <w:color w:val="auto"/>
                <w:sz w:val="24"/>
              </w:rPr>
            </w:pPr>
            <w:r w:rsidRPr="00F73A7A">
              <w:rPr>
                <w:rFonts w:ascii="Arial" w:hAnsi="Arial" w:cs="Arial"/>
                <w:iCs/>
                <w:color w:val="auto"/>
                <w:szCs w:val="22"/>
              </w:rPr>
              <w:t xml:space="preserve">Gain input on areas of focus for future guides, such as the need </w:t>
            </w:r>
            <w:r w:rsidR="00A663BC" w:rsidRPr="00F73A7A">
              <w:rPr>
                <w:rFonts w:ascii="Arial" w:hAnsi="Arial" w:cs="Arial"/>
                <w:iCs/>
                <w:color w:val="auto"/>
                <w:szCs w:val="22"/>
              </w:rPr>
              <w:t xml:space="preserve">for </w:t>
            </w:r>
            <w:r w:rsidRPr="00F73A7A">
              <w:rPr>
                <w:rFonts w:ascii="Arial" w:hAnsi="Arial" w:cs="Arial"/>
                <w:iCs/>
                <w:color w:val="auto"/>
                <w:szCs w:val="22"/>
              </w:rPr>
              <w:t>and how</w:t>
            </w:r>
            <w:r w:rsidR="00A663BC" w:rsidRPr="00F73A7A">
              <w:rPr>
                <w:rFonts w:ascii="Arial" w:hAnsi="Arial" w:cs="Arial"/>
                <w:iCs/>
                <w:color w:val="auto"/>
                <w:szCs w:val="22"/>
              </w:rPr>
              <w:t xml:space="preserve"> </w:t>
            </w:r>
            <w:r w:rsidRPr="00F73A7A">
              <w:rPr>
                <w:rFonts w:ascii="Arial" w:hAnsi="Arial" w:cs="Arial"/>
                <w:iCs/>
                <w:color w:val="auto"/>
                <w:szCs w:val="22"/>
              </w:rPr>
              <w:t>to improve understanding of risk governance at the local level</w:t>
            </w:r>
            <w:r w:rsidR="00F73A7A">
              <w:rPr>
                <w:rFonts w:ascii="Arial" w:hAnsi="Arial" w:cs="Arial"/>
                <w:iCs/>
                <w:color w:val="auto"/>
                <w:szCs w:val="22"/>
              </w:rPr>
              <w:t>.</w:t>
            </w:r>
          </w:p>
        </w:tc>
      </w:tr>
      <w:tr w:rsidR="00D07E90" w:rsidRPr="00B72990" w14:paraId="62A130B0" w14:textId="77777777" w:rsidTr="00D149BA">
        <w:tc>
          <w:tcPr>
            <w:tcW w:w="2552" w:type="dxa"/>
            <w:tcMar>
              <w:top w:w="100" w:type="dxa"/>
              <w:left w:w="108" w:type="dxa"/>
              <w:bottom w:w="100" w:type="dxa"/>
              <w:right w:w="108" w:type="dxa"/>
            </w:tcMar>
          </w:tcPr>
          <w:p w14:paraId="483828EC" w14:textId="10F79FF0" w:rsidR="00D07E90" w:rsidRPr="00B72990" w:rsidRDefault="00D07E90" w:rsidP="00114B7B">
            <w:pPr>
              <w:pStyle w:val="Normal1"/>
              <w:ind w:left="44" w:firstLine="0"/>
              <w:rPr>
                <w:rFonts w:ascii="Arial" w:hAnsi="Arial" w:cs="Arial"/>
                <w:b/>
                <w:color w:val="auto"/>
                <w:sz w:val="24"/>
              </w:rPr>
            </w:pPr>
            <w:r w:rsidRPr="00B72990">
              <w:rPr>
                <w:rFonts w:ascii="Arial" w:hAnsi="Arial" w:cs="Arial"/>
                <w:b/>
                <w:color w:val="auto"/>
                <w:sz w:val="24"/>
              </w:rPr>
              <w:lastRenderedPageBreak/>
              <w:t xml:space="preserve">Proposed list of speakers </w:t>
            </w:r>
          </w:p>
        </w:tc>
        <w:tc>
          <w:tcPr>
            <w:tcW w:w="6662" w:type="dxa"/>
            <w:tcMar>
              <w:top w:w="100" w:type="dxa"/>
              <w:left w:w="108" w:type="dxa"/>
              <w:bottom w:w="100" w:type="dxa"/>
              <w:right w:w="108" w:type="dxa"/>
            </w:tcMar>
          </w:tcPr>
          <w:p w14:paraId="5804F757" w14:textId="77777777" w:rsidR="00B22C48" w:rsidRPr="00B22C48" w:rsidRDefault="00B22C48" w:rsidP="00B22C48">
            <w:pPr>
              <w:pStyle w:val="Normal1"/>
              <w:ind w:left="44"/>
              <w:rPr>
                <w:rFonts w:ascii="Arial" w:hAnsi="Arial" w:cs="Arial"/>
                <w:i/>
                <w:iCs/>
                <w:color w:val="000000" w:themeColor="text1"/>
                <w:szCs w:val="22"/>
              </w:rPr>
            </w:pPr>
          </w:p>
          <w:p w14:paraId="519199E0" w14:textId="77777777" w:rsidR="00B22C48" w:rsidRPr="00B22C48" w:rsidRDefault="00B22C48" w:rsidP="00B22C48">
            <w:pPr>
              <w:pStyle w:val="Normal1"/>
              <w:ind w:left="44"/>
              <w:rPr>
                <w:rFonts w:ascii="Arial" w:hAnsi="Arial" w:cs="Arial"/>
                <w:i/>
                <w:iCs/>
                <w:color w:val="000000" w:themeColor="text1"/>
                <w:szCs w:val="22"/>
              </w:rPr>
            </w:pPr>
            <w:r w:rsidRPr="00B22C48">
              <w:rPr>
                <w:rFonts w:ascii="Arial" w:hAnsi="Arial" w:cs="Arial"/>
                <w:i/>
                <w:iCs/>
                <w:color w:val="000000" w:themeColor="text1"/>
                <w:szCs w:val="22"/>
              </w:rPr>
              <w:t>SPEAKERS</w:t>
            </w:r>
          </w:p>
          <w:p w14:paraId="59C8F4F9" w14:textId="77777777" w:rsidR="00B22C48" w:rsidRPr="00B22C48" w:rsidRDefault="00B22C48" w:rsidP="00B22C48">
            <w:pPr>
              <w:pStyle w:val="Normal1"/>
              <w:ind w:left="44"/>
              <w:rPr>
                <w:rFonts w:ascii="Arial" w:hAnsi="Arial" w:cs="Arial"/>
                <w:i/>
                <w:iCs/>
                <w:color w:val="000000" w:themeColor="text1"/>
                <w:szCs w:val="22"/>
              </w:rPr>
            </w:pPr>
          </w:p>
          <w:p w14:paraId="0D6AE30E" w14:textId="77777777" w:rsidR="00B22C48" w:rsidRPr="00A756DB" w:rsidRDefault="00B22C48" w:rsidP="00A756DB">
            <w:pPr>
              <w:pStyle w:val="Normal1"/>
              <w:numPr>
                <w:ilvl w:val="0"/>
                <w:numId w:val="29"/>
              </w:numPr>
              <w:ind w:left="601" w:hanging="284"/>
              <w:rPr>
                <w:rFonts w:ascii="Arial" w:hAnsi="Arial" w:cs="Arial"/>
                <w:iCs/>
                <w:color w:val="000000" w:themeColor="text1"/>
                <w:szCs w:val="22"/>
              </w:rPr>
            </w:pPr>
            <w:r w:rsidRPr="00A756DB">
              <w:rPr>
                <w:rFonts w:ascii="Arial" w:hAnsi="Arial" w:cs="Arial"/>
                <w:iCs/>
                <w:color w:val="000000" w:themeColor="text1"/>
                <w:szCs w:val="22"/>
              </w:rPr>
              <w:t>Mr. Carlos Iván Márquez Pérez, Director National Unit for Disaster Risk Management in Colombia</w:t>
            </w:r>
          </w:p>
          <w:p w14:paraId="58954775" w14:textId="77777777" w:rsidR="00B22C48" w:rsidRPr="00A756DB" w:rsidRDefault="00B22C48" w:rsidP="00A756DB">
            <w:pPr>
              <w:pStyle w:val="Normal1"/>
              <w:numPr>
                <w:ilvl w:val="0"/>
                <w:numId w:val="29"/>
              </w:numPr>
              <w:ind w:left="601" w:hanging="284"/>
              <w:rPr>
                <w:rFonts w:ascii="Arial" w:hAnsi="Arial" w:cs="Arial"/>
                <w:iCs/>
                <w:color w:val="000000" w:themeColor="text1"/>
                <w:szCs w:val="22"/>
              </w:rPr>
            </w:pPr>
            <w:r w:rsidRPr="00A756DB">
              <w:rPr>
                <w:rFonts w:ascii="Arial" w:hAnsi="Arial" w:cs="Arial"/>
                <w:iCs/>
                <w:color w:val="000000" w:themeColor="text1"/>
                <w:szCs w:val="22"/>
              </w:rPr>
              <w:t>María Luisa Romero. Minister of Government of Panama</w:t>
            </w:r>
          </w:p>
          <w:p w14:paraId="0185685C" w14:textId="77777777" w:rsidR="004060E2" w:rsidRDefault="00B22C48" w:rsidP="00A756DB">
            <w:pPr>
              <w:pStyle w:val="Normal1"/>
              <w:numPr>
                <w:ilvl w:val="0"/>
                <w:numId w:val="29"/>
              </w:numPr>
              <w:ind w:left="601" w:hanging="284"/>
              <w:rPr>
                <w:rFonts w:ascii="Arial" w:hAnsi="Arial" w:cs="Arial"/>
                <w:iCs/>
                <w:color w:val="000000" w:themeColor="text1"/>
                <w:szCs w:val="22"/>
              </w:rPr>
            </w:pPr>
            <w:r w:rsidRPr="00A756DB">
              <w:rPr>
                <w:rFonts w:ascii="Arial" w:hAnsi="Arial" w:cs="Arial"/>
                <w:iCs/>
                <w:color w:val="000000" w:themeColor="text1"/>
                <w:szCs w:val="22"/>
              </w:rPr>
              <w:t xml:space="preserve">Dr. </w:t>
            </w:r>
            <w:proofErr w:type="spellStart"/>
            <w:r w:rsidRPr="00A756DB">
              <w:rPr>
                <w:rFonts w:ascii="Arial" w:hAnsi="Arial" w:cs="Arial"/>
                <w:iCs/>
                <w:color w:val="000000" w:themeColor="text1"/>
                <w:szCs w:val="22"/>
              </w:rPr>
              <w:t>Fadi</w:t>
            </w:r>
            <w:proofErr w:type="spellEnd"/>
            <w:r w:rsidRPr="00A756DB">
              <w:rPr>
                <w:rFonts w:ascii="Arial" w:hAnsi="Arial" w:cs="Arial"/>
                <w:iCs/>
                <w:color w:val="000000" w:themeColor="text1"/>
                <w:szCs w:val="22"/>
              </w:rPr>
              <w:t xml:space="preserve"> </w:t>
            </w:r>
            <w:proofErr w:type="spellStart"/>
            <w:r w:rsidRPr="00A756DB">
              <w:rPr>
                <w:rFonts w:ascii="Arial" w:hAnsi="Arial" w:cs="Arial"/>
                <w:iCs/>
                <w:color w:val="000000" w:themeColor="text1"/>
                <w:szCs w:val="22"/>
              </w:rPr>
              <w:t>Hamdan</w:t>
            </w:r>
            <w:proofErr w:type="spellEnd"/>
            <w:r w:rsidRPr="00A756DB">
              <w:rPr>
                <w:rFonts w:ascii="Arial" w:hAnsi="Arial" w:cs="Arial"/>
                <w:iCs/>
                <w:color w:val="000000" w:themeColor="text1"/>
                <w:szCs w:val="22"/>
              </w:rPr>
              <w:t>, Managing Director. Disaster Risk Management Center (DRMC), Lebanon</w:t>
            </w:r>
          </w:p>
          <w:p w14:paraId="39E00AFD" w14:textId="3DFC0239" w:rsidR="00B22C48" w:rsidRPr="00A756DB" w:rsidRDefault="00B22C48" w:rsidP="00A756DB">
            <w:pPr>
              <w:pStyle w:val="Normal1"/>
              <w:numPr>
                <w:ilvl w:val="0"/>
                <w:numId w:val="29"/>
              </w:numPr>
              <w:ind w:left="601" w:hanging="284"/>
              <w:rPr>
                <w:rFonts w:ascii="Arial" w:hAnsi="Arial" w:cs="Arial"/>
                <w:iCs/>
                <w:color w:val="000000" w:themeColor="text1"/>
                <w:szCs w:val="22"/>
              </w:rPr>
            </w:pPr>
            <w:r w:rsidRPr="00A756DB">
              <w:rPr>
                <w:rFonts w:ascii="Arial" w:hAnsi="Arial" w:cs="Arial"/>
                <w:iCs/>
                <w:color w:val="000000" w:themeColor="text1"/>
                <w:szCs w:val="22"/>
              </w:rPr>
              <w:t xml:space="preserve">Ms. </w:t>
            </w:r>
            <w:proofErr w:type="spellStart"/>
            <w:r w:rsidRPr="00A756DB">
              <w:rPr>
                <w:rFonts w:ascii="Arial" w:hAnsi="Arial" w:cs="Arial"/>
                <w:iCs/>
                <w:color w:val="000000" w:themeColor="text1"/>
                <w:szCs w:val="22"/>
              </w:rPr>
              <w:t>Dilanthi</w:t>
            </w:r>
            <w:proofErr w:type="spellEnd"/>
            <w:r w:rsidRPr="00A756DB">
              <w:rPr>
                <w:rFonts w:ascii="Arial" w:hAnsi="Arial" w:cs="Arial"/>
                <w:iCs/>
                <w:color w:val="000000" w:themeColor="text1"/>
                <w:szCs w:val="22"/>
              </w:rPr>
              <w:t xml:space="preserve"> </w:t>
            </w:r>
            <w:proofErr w:type="spellStart"/>
            <w:r w:rsidRPr="00A756DB">
              <w:rPr>
                <w:rFonts w:ascii="Arial" w:hAnsi="Arial" w:cs="Arial"/>
                <w:iCs/>
                <w:color w:val="000000" w:themeColor="text1"/>
                <w:szCs w:val="22"/>
              </w:rPr>
              <w:t>Amaratunga</w:t>
            </w:r>
            <w:proofErr w:type="spellEnd"/>
            <w:r w:rsidRPr="00A756DB">
              <w:rPr>
                <w:rFonts w:ascii="Arial" w:hAnsi="Arial" w:cs="Arial"/>
                <w:iCs/>
                <w:color w:val="000000" w:themeColor="text1"/>
                <w:szCs w:val="22"/>
              </w:rPr>
              <w:t xml:space="preserve"> - Chair of the DRR Governance Words into Action working group. </w:t>
            </w:r>
          </w:p>
          <w:p w14:paraId="49105808" w14:textId="631256E9" w:rsidR="00B22C48" w:rsidRPr="00A756DB" w:rsidRDefault="00B22C48" w:rsidP="00A756DB">
            <w:pPr>
              <w:pStyle w:val="Normal1"/>
              <w:numPr>
                <w:ilvl w:val="0"/>
                <w:numId w:val="29"/>
              </w:numPr>
              <w:ind w:left="601" w:hanging="284"/>
              <w:rPr>
                <w:rFonts w:ascii="Arial" w:hAnsi="Arial" w:cs="Arial"/>
                <w:i/>
                <w:iCs/>
                <w:color w:val="000000" w:themeColor="text1"/>
                <w:szCs w:val="22"/>
              </w:rPr>
            </w:pPr>
            <w:r w:rsidRPr="00A756DB">
              <w:rPr>
                <w:rFonts w:ascii="Arial" w:hAnsi="Arial" w:cs="Arial"/>
                <w:iCs/>
                <w:color w:val="000000" w:themeColor="text1"/>
                <w:szCs w:val="22"/>
              </w:rPr>
              <w:t xml:space="preserve">Ms. Natalia </w:t>
            </w:r>
            <w:proofErr w:type="spellStart"/>
            <w:r w:rsidRPr="00A756DB">
              <w:rPr>
                <w:rFonts w:ascii="Arial" w:hAnsi="Arial" w:cs="Arial"/>
                <w:iCs/>
                <w:color w:val="000000" w:themeColor="text1"/>
                <w:szCs w:val="22"/>
              </w:rPr>
              <w:t>Ilieva</w:t>
            </w:r>
            <w:proofErr w:type="spellEnd"/>
            <w:r w:rsidRPr="00A756DB">
              <w:rPr>
                <w:rFonts w:ascii="Arial" w:hAnsi="Arial" w:cs="Arial"/>
                <w:iCs/>
                <w:color w:val="000000" w:themeColor="text1"/>
                <w:szCs w:val="22"/>
              </w:rPr>
              <w:t>, Executive Assistant to the Secretary General of Asia Pacific Broadcasting Union (ABU)</w:t>
            </w:r>
            <w:r w:rsidRPr="00A756DB">
              <w:rPr>
                <w:rFonts w:ascii="Arial" w:hAnsi="Arial" w:cs="Arial"/>
                <w:i/>
                <w:iCs/>
                <w:color w:val="000000" w:themeColor="text1"/>
                <w:szCs w:val="22"/>
              </w:rPr>
              <w:t xml:space="preserve"> </w:t>
            </w:r>
          </w:p>
          <w:p w14:paraId="28B27E3A" w14:textId="2AAEE586" w:rsidR="002F65D2" w:rsidRPr="00B22C48" w:rsidRDefault="002F65D2" w:rsidP="00A756DB">
            <w:pPr>
              <w:pStyle w:val="Normal1"/>
              <w:ind w:left="764" w:firstLine="0"/>
              <w:jc w:val="both"/>
              <w:rPr>
                <w:rFonts w:ascii="Arial" w:hAnsi="Arial" w:cs="Arial"/>
                <w:b/>
                <w:i/>
                <w:iCs/>
                <w:color w:val="FF0000"/>
                <w:szCs w:val="22"/>
              </w:rPr>
            </w:pPr>
          </w:p>
        </w:tc>
      </w:tr>
      <w:tr w:rsidR="00D07E90" w:rsidRPr="00B72990" w14:paraId="5C6620F6" w14:textId="77777777" w:rsidTr="00D149BA">
        <w:tc>
          <w:tcPr>
            <w:tcW w:w="2552" w:type="dxa"/>
            <w:tcMar>
              <w:top w:w="100" w:type="dxa"/>
              <w:left w:w="108" w:type="dxa"/>
              <w:bottom w:w="100" w:type="dxa"/>
              <w:right w:w="108" w:type="dxa"/>
            </w:tcMar>
          </w:tcPr>
          <w:p w14:paraId="5CD5C3ED" w14:textId="394DDC0B" w:rsidR="00D07E90" w:rsidRPr="00B72990" w:rsidRDefault="00D07E90" w:rsidP="00332641">
            <w:pPr>
              <w:pStyle w:val="Normal1"/>
              <w:ind w:firstLine="0"/>
              <w:rPr>
                <w:rFonts w:ascii="Arial" w:hAnsi="Arial" w:cs="Arial"/>
                <w:color w:val="auto"/>
                <w:sz w:val="24"/>
              </w:rPr>
            </w:pPr>
            <w:r w:rsidRPr="00B72990">
              <w:rPr>
                <w:rFonts w:ascii="Arial" w:hAnsi="Arial" w:cs="Arial"/>
                <w:b/>
                <w:color w:val="auto"/>
                <w:sz w:val="24"/>
              </w:rPr>
              <w:t xml:space="preserve">Expected outcomes </w:t>
            </w:r>
          </w:p>
        </w:tc>
        <w:tc>
          <w:tcPr>
            <w:tcW w:w="6662" w:type="dxa"/>
            <w:tcMar>
              <w:top w:w="100" w:type="dxa"/>
              <w:left w:w="108" w:type="dxa"/>
              <w:bottom w:w="100" w:type="dxa"/>
              <w:right w:w="108" w:type="dxa"/>
            </w:tcMar>
          </w:tcPr>
          <w:p w14:paraId="0CD034AF" w14:textId="36A89635" w:rsidR="001341B2" w:rsidRPr="00EF761C" w:rsidRDefault="00224D98" w:rsidP="00332641">
            <w:pPr>
              <w:pStyle w:val="Normal1"/>
              <w:numPr>
                <w:ilvl w:val="0"/>
                <w:numId w:val="2"/>
              </w:numPr>
              <w:ind w:left="335" w:hanging="283"/>
              <w:rPr>
                <w:rFonts w:ascii="Arial" w:hAnsi="Arial" w:cs="Arial"/>
                <w:color w:val="auto"/>
                <w:szCs w:val="22"/>
              </w:rPr>
            </w:pPr>
            <w:r w:rsidRPr="00EF761C">
              <w:rPr>
                <w:rFonts w:ascii="Arial" w:hAnsi="Arial" w:cs="Arial"/>
                <w:color w:val="auto"/>
                <w:szCs w:val="22"/>
              </w:rPr>
              <w:t>U</w:t>
            </w:r>
            <w:r w:rsidR="001341B2" w:rsidRPr="00EF761C">
              <w:rPr>
                <w:rFonts w:ascii="Arial" w:hAnsi="Arial" w:cs="Arial"/>
                <w:color w:val="auto"/>
                <w:szCs w:val="22"/>
              </w:rPr>
              <w:t xml:space="preserve">nderstanding of the importance of good </w:t>
            </w:r>
            <w:r w:rsidR="00087E69" w:rsidRPr="00EF761C">
              <w:rPr>
                <w:rFonts w:ascii="Arial" w:hAnsi="Arial" w:cs="Arial"/>
                <w:color w:val="auto"/>
                <w:szCs w:val="22"/>
              </w:rPr>
              <w:t xml:space="preserve">DRR </w:t>
            </w:r>
            <w:r w:rsidR="001341B2" w:rsidRPr="00EF761C">
              <w:rPr>
                <w:rFonts w:ascii="Arial" w:hAnsi="Arial" w:cs="Arial"/>
                <w:color w:val="auto"/>
                <w:szCs w:val="22"/>
              </w:rPr>
              <w:t>governance at the national and local levels to facilitate the DRR agenda and con</w:t>
            </w:r>
            <w:r w:rsidRPr="00EF761C">
              <w:rPr>
                <w:rFonts w:ascii="Arial" w:hAnsi="Arial" w:cs="Arial"/>
                <w:color w:val="auto"/>
                <w:szCs w:val="22"/>
              </w:rPr>
              <w:t>tribute to the Sendai Framework.</w:t>
            </w:r>
          </w:p>
          <w:p w14:paraId="5A79C6E5" w14:textId="06C36C70" w:rsidR="001341B2" w:rsidRPr="00EF761C" w:rsidRDefault="001341B2" w:rsidP="00332641">
            <w:pPr>
              <w:pStyle w:val="Normal1"/>
              <w:numPr>
                <w:ilvl w:val="0"/>
                <w:numId w:val="2"/>
              </w:numPr>
              <w:ind w:left="335" w:hanging="283"/>
              <w:rPr>
                <w:rFonts w:ascii="Arial" w:hAnsi="Arial" w:cs="Arial"/>
                <w:color w:val="auto"/>
                <w:szCs w:val="22"/>
              </w:rPr>
            </w:pPr>
            <w:r w:rsidRPr="00EF761C">
              <w:rPr>
                <w:rFonts w:ascii="Arial" w:hAnsi="Arial" w:cs="Arial"/>
                <w:color w:val="auto"/>
                <w:szCs w:val="22"/>
              </w:rPr>
              <w:t>Real actions addressing the challenge of the im</w:t>
            </w:r>
            <w:r w:rsidR="002914F1" w:rsidRPr="00EF761C">
              <w:rPr>
                <w:rFonts w:ascii="Arial" w:hAnsi="Arial" w:cs="Arial"/>
                <w:color w:val="auto"/>
                <w:szCs w:val="22"/>
              </w:rPr>
              <w:t>plementation and achievement of</w:t>
            </w:r>
            <w:r w:rsidR="00224D98" w:rsidRPr="00EF761C">
              <w:rPr>
                <w:rFonts w:ascii="Arial" w:hAnsi="Arial" w:cs="Arial"/>
                <w:color w:val="auto"/>
                <w:szCs w:val="22"/>
              </w:rPr>
              <w:t xml:space="preserve"> the Sendai Framework </w:t>
            </w:r>
            <w:r w:rsidRPr="00EF761C">
              <w:rPr>
                <w:rFonts w:ascii="Arial" w:hAnsi="Arial" w:cs="Arial"/>
                <w:color w:val="auto"/>
                <w:szCs w:val="22"/>
              </w:rPr>
              <w:t xml:space="preserve">targets </w:t>
            </w:r>
            <w:r w:rsidR="002914F1" w:rsidRPr="00EF761C">
              <w:rPr>
                <w:rFonts w:ascii="Arial" w:hAnsi="Arial" w:cs="Arial"/>
                <w:color w:val="auto"/>
                <w:szCs w:val="22"/>
              </w:rPr>
              <w:t>on Governance.</w:t>
            </w:r>
          </w:p>
          <w:p w14:paraId="4781D29E" w14:textId="43B58313" w:rsidR="001341B2" w:rsidRPr="00EF761C" w:rsidRDefault="002914F1" w:rsidP="00332641">
            <w:pPr>
              <w:pStyle w:val="Normal1"/>
              <w:numPr>
                <w:ilvl w:val="0"/>
                <w:numId w:val="2"/>
              </w:numPr>
              <w:ind w:left="335" w:hanging="283"/>
              <w:rPr>
                <w:rFonts w:ascii="Arial" w:hAnsi="Arial" w:cs="Arial"/>
                <w:color w:val="auto"/>
                <w:szCs w:val="22"/>
              </w:rPr>
            </w:pPr>
            <w:r w:rsidRPr="00EF761C">
              <w:rPr>
                <w:rFonts w:ascii="Arial" w:eastAsia="Arial" w:hAnsi="Arial"/>
                <w:i/>
                <w:szCs w:val="22"/>
              </w:rPr>
              <w:t xml:space="preserve">Successful case studies of reform in governance and </w:t>
            </w:r>
            <w:r w:rsidR="00115F79" w:rsidRPr="00EF761C">
              <w:rPr>
                <w:rFonts w:ascii="Arial" w:eastAsia="Arial" w:hAnsi="Arial"/>
                <w:i/>
                <w:szCs w:val="22"/>
              </w:rPr>
              <w:t xml:space="preserve">governance accountability </w:t>
            </w:r>
            <w:r w:rsidRPr="00EF761C">
              <w:rPr>
                <w:rFonts w:ascii="Arial" w:eastAsia="Arial" w:hAnsi="Arial"/>
                <w:i/>
                <w:szCs w:val="22"/>
              </w:rPr>
              <w:t xml:space="preserve"> for </w:t>
            </w:r>
            <w:r w:rsidR="00115F79" w:rsidRPr="00EF761C">
              <w:rPr>
                <w:rFonts w:ascii="Arial" w:hAnsi="Arial" w:cs="Arial"/>
                <w:color w:val="auto"/>
                <w:szCs w:val="22"/>
              </w:rPr>
              <w:t>DRR.</w:t>
            </w:r>
          </w:p>
          <w:p w14:paraId="1223AD14" w14:textId="7DB38811" w:rsidR="002914F1" w:rsidRPr="00EF761C" w:rsidRDefault="002914F1" w:rsidP="002914F1">
            <w:pPr>
              <w:pStyle w:val="Normal1"/>
              <w:numPr>
                <w:ilvl w:val="0"/>
                <w:numId w:val="2"/>
              </w:numPr>
              <w:ind w:left="335" w:hanging="283"/>
              <w:rPr>
                <w:rFonts w:ascii="Arial" w:hAnsi="Arial" w:cs="Arial"/>
                <w:color w:val="auto"/>
                <w:szCs w:val="22"/>
              </w:rPr>
            </w:pPr>
            <w:r w:rsidRPr="00EF761C">
              <w:rPr>
                <w:rFonts w:ascii="Arial" w:hAnsi="Arial" w:cs="Arial"/>
                <w:color w:val="auto"/>
                <w:szCs w:val="22"/>
              </w:rPr>
              <w:t>Release of the Sendai Words into Action implementation guide on Governance and Accountability.</w:t>
            </w:r>
            <w:r w:rsidRPr="00EF761C">
              <w:rPr>
                <w:szCs w:val="22"/>
              </w:rPr>
              <w:t xml:space="preserve"> </w:t>
            </w:r>
          </w:p>
          <w:p w14:paraId="0FCA3BD5" w14:textId="1F0768D0" w:rsidR="00221EA1" w:rsidRPr="002914F1" w:rsidRDefault="002914F1" w:rsidP="00115F79">
            <w:pPr>
              <w:pStyle w:val="Normal1"/>
              <w:numPr>
                <w:ilvl w:val="0"/>
                <w:numId w:val="2"/>
              </w:numPr>
              <w:ind w:left="335" w:hanging="283"/>
              <w:rPr>
                <w:rFonts w:ascii="Arial" w:hAnsi="Arial" w:cs="Arial"/>
                <w:i/>
                <w:iCs/>
                <w:color w:val="auto"/>
                <w:sz w:val="24"/>
                <w:szCs w:val="20"/>
              </w:rPr>
            </w:pPr>
            <w:r w:rsidRPr="00EF761C">
              <w:rPr>
                <w:rFonts w:ascii="Arial" w:hAnsi="Arial" w:cs="Arial"/>
                <w:color w:val="auto"/>
                <w:szCs w:val="22"/>
              </w:rPr>
              <w:t>Identify</w:t>
            </w:r>
            <w:r w:rsidR="001341B2" w:rsidRPr="00EF761C">
              <w:rPr>
                <w:rFonts w:ascii="Arial" w:hAnsi="Arial" w:cs="Arial"/>
                <w:color w:val="auto"/>
                <w:szCs w:val="22"/>
              </w:rPr>
              <w:t xml:space="preserve"> </w:t>
            </w:r>
            <w:r w:rsidRPr="00EF761C">
              <w:rPr>
                <w:rFonts w:ascii="Arial" w:hAnsi="Arial" w:cs="Arial"/>
                <w:color w:val="auto"/>
                <w:szCs w:val="22"/>
              </w:rPr>
              <w:t>contributions</w:t>
            </w:r>
            <w:r w:rsidR="001341B2" w:rsidRPr="00EF761C">
              <w:rPr>
                <w:rFonts w:ascii="Arial" w:hAnsi="Arial" w:cs="Arial"/>
                <w:color w:val="auto"/>
                <w:szCs w:val="22"/>
              </w:rPr>
              <w:t xml:space="preserve"> towards </w:t>
            </w:r>
            <w:r w:rsidR="00087E69" w:rsidRPr="00EF761C">
              <w:rPr>
                <w:rFonts w:ascii="Arial" w:hAnsi="Arial" w:cs="Arial"/>
                <w:color w:val="auto"/>
                <w:szCs w:val="22"/>
              </w:rPr>
              <w:t xml:space="preserve">future editions of the </w:t>
            </w:r>
            <w:r w:rsidR="001341B2" w:rsidRPr="00EF761C">
              <w:rPr>
                <w:rFonts w:ascii="Arial" w:hAnsi="Arial" w:cs="Arial"/>
                <w:color w:val="auto"/>
                <w:szCs w:val="22"/>
              </w:rPr>
              <w:t>“Words into Action” Implementation Guides on DRR Governance and Accountability</w:t>
            </w:r>
            <w:r w:rsidR="00115F79" w:rsidRPr="00EF761C">
              <w:rPr>
                <w:rFonts w:ascii="Arial" w:hAnsi="Arial" w:cs="Arial"/>
                <w:color w:val="auto"/>
                <w:szCs w:val="22"/>
              </w:rPr>
              <w:t>.</w:t>
            </w:r>
          </w:p>
        </w:tc>
      </w:tr>
      <w:tr w:rsidR="00D07E90" w:rsidRPr="00B72990" w14:paraId="57837C95" w14:textId="77777777" w:rsidTr="002074DA">
        <w:trPr>
          <w:trHeight w:val="2735"/>
        </w:trPr>
        <w:tc>
          <w:tcPr>
            <w:tcW w:w="2552" w:type="dxa"/>
            <w:tcMar>
              <w:top w:w="100" w:type="dxa"/>
              <w:left w:w="108" w:type="dxa"/>
              <w:bottom w:w="100" w:type="dxa"/>
              <w:right w:w="108" w:type="dxa"/>
            </w:tcMar>
          </w:tcPr>
          <w:p w14:paraId="550B5B40" w14:textId="77777777" w:rsidR="00D07E90" w:rsidRPr="00B72990" w:rsidRDefault="00D07E90" w:rsidP="00332641">
            <w:pPr>
              <w:pStyle w:val="Normal1"/>
              <w:ind w:firstLine="0"/>
              <w:rPr>
                <w:rFonts w:ascii="Arial" w:hAnsi="Arial" w:cs="Arial"/>
                <w:color w:val="auto"/>
                <w:sz w:val="24"/>
              </w:rPr>
            </w:pPr>
            <w:r w:rsidRPr="00B72990">
              <w:rPr>
                <w:rFonts w:ascii="Arial" w:hAnsi="Arial" w:cs="Arial"/>
                <w:b/>
                <w:color w:val="auto"/>
                <w:sz w:val="24"/>
              </w:rPr>
              <w:t>Commitment / special announcement in support of the Sendai Framework</w:t>
            </w:r>
          </w:p>
        </w:tc>
        <w:tc>
          <w:tcPr>
            <w:tcW w:w="6662" w:type="dxa"/>
            <w:tcMar>
              <w:top w:w="100" w:type="dxa"/>
              <w:left w:w="108" w:type="dxa"/>
              <w:bottom w:w="100" w:type="dxa"/>
              <w:right w:w="108" w:type="dxa"/>
            </w:tcMar>
          </w:tcPr>
          <w:p w14:paraId="37064EAF" w14:textId="65FB4B85" w:rsidR="00EF761C" w:rsidRPr="00EF761C" w:rsidRDefault="00087E69" w:rsidP="00EF761C">
            <w:pPr>
              <w:pStyle w:val="ListParagraph"/>
              <w:numPr>
                <w:ilvl w:val="0"/>
                <w:numId w:val="28"/>
              </w:numPr>
              <w:ind w:left="317" w:hanging="283"/>
              <w:jc w:val="both"/>
              <w:rPr>
                <w:rFonts w:ascii="Arial" w:hAnsi="Arial"/>
                <w:sz w:val="22"/>
                <w:szCs w:val="22"/>
              </w:rPr>
            </w:pPr>
            <w:r w:rsidRPr="00EF761C">
              <w:rPr>
                <w:rFonts w:ascii="Arial" w:hAnsi="Arial" w:hint="eastAsia"/>
                <w:sz w:val="22"/>
                <w:szCs w:val="22"/>
              </w:rPr>
              <w:t xml:space="preserve">Outcomes of the session will </w:t>
            </w:r>
            <w:r w:rsidRPr="00EF761C">
              <w:rPr>
                <w:rFonts w:ascii="Arial" w:hAnsi="Arial"/>
                <w:sz w:val="22"/>
                <w:szCs w:val="22"/>
              </w:rPr>
              <w:t>support</w:t>
            </w:r>
            <w:r w:rsidRPr="00EF761C">
              <w:rPr>
                <w:rFonts w:ascii="Arial" w:hAnsi="Arial" w:hint="eastAsia"/>
                <w:sz w:val="22"/>
                <w:szCs w:val="22"/>
              </w:rPr>
              <w:t xml:space="preserve"> implemen</w:t>
            </w:r>
            <w:r w:rsidR="00AD6631" w:rsidRPr="00EF761C">
              <w:rPr>
                <w:rFonts w:ascii="Arial" w:hAnsi="Arial"/>
                <w:sz w:val="22"/>
                <w:szCs w:val="22"/>
              </w:rPr>
              <w:t>ta</w:t>
            </w:r>
            <w:r w:rsidRPr="00EF761C">
              <w:rPr>
                <w:rFonts w:ascii="Arial" w:hAnsi="Arial" w:hint="eastAsia"/>
                <w:sz w:val="22"/>
                <w:szCs w:val="22"/>
              </w:rPr>
              <w:t xml:space="preserve">tion </w:t>
            </w:r>
            <w:r w:rsidR="0048449A" w:rsidRPr="00EF761C">
              <w:rPr>
                <w:rFonts w:ascii="Arial" w:hAnsi="Arial"/>
                <w:sz w:val="22"/>
                <w:szCs w:val="22"/>
              </w:rPr>
              <w:t xml:space="preserve">of </w:t>
            </w:r>
            <w:r w:rsidRPr="00EF761C">
              <w:rPr>
                <w:rFonts w:ascii="Arial" w:hAnsi="Arial" w:hint="eastAsia"/>
                <w:sz w:val="22"/>
                <w:szCs w:val="22"/>
              </w:rPr>
              <w:t>the Sendai Framework</w:t>
            </w:r>
            <w:r w:rsidRPr="00EF761C">
              <w:rPr>
                <w:rFonts w:ascii="Arial" w:hAnsi="Arial"/>
                <w:sz w:val="22"/>
                <w:szCs w:val="22"/>
              </w:rPr>
              <w:t>’</w:t>
            </w:r>
            <w:r w:rsidRPr="00EF761C">
              <w:rPr>
                <w:rFonts w:ascii="Arial" w:hAnsi="Arial" w:hint="eastAsia"/>
                <w:sz w:val="22"/>
                <w:szCs w:val="22"/>
              </w:rPr>
              <w:t>s Priorities for Action 2</w:t>
            </w:r>
            <w:r w:rsidR="008A6A18" w:rsidRPr="00EF761C">
              <w:rPr>
                <w:rFonts w:ascii="Arial" w:hAnsi="Arial"/>
                <w:sz w:val="22"/>
                <w:szCs w:val="22"/>
              </w:rPr>
              <w:t xml:space="preserve">, and support a better understanding of the priorities for improving the effectiveness of DRR polices </w:t>
            </w:r>
            <w:r w:rsidR="00EF761C">
              <w:rPr>
                <w:rFonts w:ascii="Arial" w:hAnsi="Arial"/>
                <w:sz w:val="22"/>
                <w:szCs w:val="22"/>
              </w:rPr>
              <w:t xml:space="preserve">in different country contexts. </w:t>
            </w:r>
          </w:p>
          <w:p w14:paraId="2FB896F2" w14:textId="0901BDBF" w:rsidR="00D07E90" w:rsidRPr="00EF761C" w:rsidRDefault="001341B2" w:rsidP="00EF761C">
            <w:pPr>
              <w:pStyle w:val="ListParagraph"/>
              <w:numPr>
                <w:ilvl w:val="0"/>
                <w:numId w:val="28"/>
              </w:numPr>
              <w:ind w:left="317" w:hanging="283"/>
              <w:jc w:val="both"/>
              <w:rPr>
                <w:rFonts w:ascii="Arial" w:hAnsi="Arial"/>
              </w:rPr>
            </w:pPr>
            <w:r w:rsidRPr="00EF761C">
              <w:rPr>
                <w:rFonts w:ascii="Arial" w:hAnsi="Arial"/>
                <w:sz w:val="22"/>
                <w:szCs w:val="22"/>
              </w:rPr>
              <w:t xml:space="preserve">Launch of the </w:t>
            </w:r>
            <w:r w:rsidR="00087E69" w:rsidRPr="00EF761C">
              <w:rPr>
                <w:rFonts w:ascii="Arial" w:hAnsi="Arial"/>
                <w:sz w:val="22"/>
                <w:szCs w:val="22"/>
              </w:rPr>
              <w:t xml:space="preserve">first edition of the </w:t>
            </w:r>
            <w:r w:rsidRPr="00EF761C">
              <w:rPr>
                <w:rFonts w:ascii="Arial" w:hAnsi="Arial"/>
                <w:sz w:val="22"/>
                <w:szCs w:val="22"/>
              </w:rPr>
              <w:t>Sendai Framework “Words into Action”</w:t>
            </w:r>
            <w:r w:rsidR="009C1DB5">
              <w:rPr>
                <w:rFonts w:ascii="Arial" w:hAnsi="Arial"/>
                <w:sz w:val="22"/>
                <w:szCs w:val="22"/>
              </w:rPr>
              <w:t xml:space="preserve">: </w:t>
            </w:r>
            <w:r w:rsidRPr="00EF761C">
              <w:rPr>
                <w:rFonts w:ascii="Arial" w:hAnsi="Arial"/>
                <w:sz w:val="22"/>
                <w:szCs w:val="22"/>
              </w:rPr>
              <w:t>Implementation Guide on DRR Governance and Accountability. The focus of the first edition of the guide is on DRR accountability as a component of governance and target</w:t>
            </w:r>
            <w:r w:rsidR="00A663BC" w:rsidRPr="00EF761C">
              <w:rPr>
                <w:rFonts w:ascii="Arial" w:hAnsi="Arial"/>
                <w:sz w:val="22"/>
                <w:szCs w:val="22"/>
              </w:rPr>
              <w:t>ing</w:t>
            </w:r>
            <w:r w:rsidRPr="00EF761C">
              <w:rPr>
                <w:rFonts w:ascii="Arial" w:hAnsi="Arial"/>
                <w:sz w:val="22"/>
                <w:szCs w:val="22"/>
              </w:rPr>
              <w:t xml:space="preserve"> central government as a key actor in effective DRR governance. </w:t>
            </w:r>
          </w:p>
        </w:tc>
      </w:tr>
      <w:tr w:rsidR="00D07E90" w:rsidRPr="00B72990" w14:paraId="6D7EBA04" w14:textId="77777777" w:rsidTr="00D149BA">
        <w:trPr>
          <w:trHeight w:val="481"/>
        </w:trPr>
        <w:tc>
          <w:tcPr>
            <w:tcW w:w="2552" w:type="dxa"/>
            <w:tcMar>
              <w:top w:w="100" w:type="dxa"/>
              <w:left w:w="108" w:type="dxa"/>
              <w:bottom w:w="100" w:type="dxa"/>
              <w:right w:w="108" w:type="dxa"/>
            </w:tcMar>
          </w:tcPr>
          <w:p w14:paraId="6A4F4295" w14:textId="77777777" w:rsidR="00D07E90" w:rsidRPr="00B72990" w:rsidRDefault="00D07E90" w:rsidP="00332641">
            <w:pPr>
              <w:pStyle w:val="Normal1"/>
              <w:ind w:firstLine="0"/>
              <w:rPr>
                <w:rFonts w:ascii="Arial" w:hAnsi="Arial" w:cs="Arial"/>
                <w:color w:val="auto"/>
                <w:sz w:val="24"/>
              </w:rPr>
            </w:pPr>
            <w:r w:rsidRPr="00B72990">
              <w:rPr>
                <w:rFonts w:ascii="Arial" w:hAnsi="Arial" w:cs="Arial"/>
                <w:b/>
                <w:color w:val="auto"/>
                <w:sz w:val="24"/>
              </w:rPr>
              <w:t>Technical Equipment Required</w:t>
            </w:r>
          </w:p>
        </w:tc>
        <w:tc>
          <w:tcPr>
            <w:tcW w:w="6662" w:type="dxa"/>
            <w:tcMar>
              <w:top w:w="100" w:type="dxa"/>
              <w:left w:w="108" w:type="dxa"/>
              <w:bottom w:w="100" w:type="dxa"/>
              <w:right w:w="108" w:type="dxa"/>
            </w:tcMar>
          </w:tcPr>
          <w:p w14:paraId="7DBA41E4" w14:textId="52289B63" w:rsidR="00D07E90" w:rsidRPr="00B72990" w:rsidRDefault="00D07E90" w:rsidP="00332641">
            <w:pPr>
              <w:pStyle w:val="Normal1"/>
              <w:ind w:firstLine="0"/>
              <w:jc w:val="both"/>
              <w:rPr>
                <w:rFonts w:ascii="Arial" w:hAnsi="Arial" w:cs="Arial"/>
                <w:i/>
                <w:color w:val="auto"/>
                <w:sz w:val="24"/>
              </w:rPr>
            </w:pPr>
          </w:p>
        </w:tc>
      </w:tr>
      <w:tr w:rsidR="00D07E90" w:rsidRPr="00B72990" w14:paraId="5BC9ADB5" w14:textId="77777777" w:rsidTr="00D149BA">
        <w:tc>
          <w:tcPr>
            <w:tcW w:w="2552" w:type="dxa"/>
            <w:tcMar>
              <w:top w:w="100" w:type="dxa"/>
              <w:left w:w="108" w:type="dxa"/>
              <w:bottom w:w="100" w:type="dxa"/>
              <w:right w:w="108" w:type="dxa"/>
            </w:tcMar>
          </w:tcPr>
          <w:p w14:paraId="31B324C3" w14:textId="77777777" w:rsidR="00D07E90" w:rsidRPr="00B72990" w:rsidRDefault="00D07E90" w:rsidP="00332641">
            <w:pPr>
              <w:pStyle w:val="Normal1"/>
              <w:ind w:firstLine="0"/>
              <w:rPr>
                <w:rFonts w:ascii="Arial" w:hAnsi="Arial" w:cs="Arial"/>
                <w:color w:val="auto"/>
                <w:sz w:val="24"/>
              </w:rPr>
            </w:pPr>
            <w:r w:rsidRPr="00B72990">
              <w:rPr>
                <w:rFonts w:ascii="Arial" w:hAnsi="Arial" w:cs="Arial"/>
                <w:b/>
                <w:color w:val="auto"/>
                <w:sz w:val="24"/>
              </w:rPr>
              <w:t>Background documents</w:t>
            </w:r>
          </w:p>
        </w:tc>
        <w:tc>
          <w:tcPr>
            <w:tcW w:w="6662" w:type="dxa"/>
            <w:tcMar>
              <w:top w:w="100" w:type="dxa"/>
              <w:left w:w="108" w:type="dxa"/>
              <w:bottom w:w="100" w:type="dxa"/>
              <w:right w:w="108" w:type="dxa"/>
            </w:tcMar>
          </w:tcPr>
          <w:p w14:paraId="7016374B" w14:textId="0126BFB8" w:rsidR="00087E69" w:rsidRDefault="00087E69" w:rsidP="00332641">
            <w:pPr>
              <w:pStyle w:val="Normal1"/>
              <w:numPr>
                <w:ilvl w:val="0"/>
                <w:numId w:val="13"/>
              </w:numPr>
              <w:ind w:left="360"/>
              <w:rPr>
                <w:rFonts w:ascii="Arial" w:hAnsi="Arial" w:cs="Arial"/>
                <w:color w:val="auto"/>
                <w:sz w:val="20"/>
                <w:szCs w:val="20"/>
              </w:rPr>
            </w:pPr>
            <w:r w:rsidRPr="009C1DB5">
              <w:rPr>
                <w:rFonts w:ascii="Arial" w:hAnsi="Arial" w:cs="Arial"/>
                <w:color w:val="auto"/>
                <w:sz w:val="20"/>
                <w:szCs w:val="20"/>
              </w:rPr>
              <w:t xml:space="preserve">First edition of the </w:t>
            </w:r>
            <w:r w:rsidR="00E909C9" w:rsidRPr="009C1DB5">
              <w:rPr>
                <w:rFonts w:ascii="Arial" w:hAnsi="Arial" w:cs="Arial"/>
                <w:color w:val="auto"/>
                <w:sz w:val="20"/>
                <w:szCs w:val="20"/>
              </w:rPr>
              <w:t>Sendai Words into Action implementation guide on Governance and Accountability</w:t>
            </w:r>
          </w:p>
          <w:p w14:paraId="48CD2A0B" w14:textId="22D8F3C6" w:rsidR="009C1DB5" w:rsidRPr="009C1DB5" w:rsidRDefault="009C1DB5" w:rsidP="00332641">
            <w:pPr>
              <w:pStyle w:val="Normal1"/>
              <w:numPr>
                <w:ilvl w:val="0"/>
                <w:numId w:val="13"/>
              </w:numPr>
              <w:ind w:left="360"/>
              <w:rPr>
                <w:rFonts w:ascii="Arial" w:hAnsi="Arial" w:cs="Arial"/>
                <w:color w:val="auto"/>
                <w:sz w:val="20"/>
                <w:szCs w:val="20"/>
              </w:rPr>
            </w:pPr>
            <w:r>
              <w:rPr>
                <w:rFonts w:ascii="Arial" w:hAnsi="Arial" w:cs="Arial"/>
                <w:color w:val="auto"/>
                <w:sz w:val="20"/>
                <w:szCs w:val="20"/>
              </w:rPr>
              <w:t>GA</w:t>
            </w:r>
            <w:r w:rsidR="00E21ACA">
              <w:rPr>
                <w:rFonts w:ascii="Arial" w:hAnsi="Arial" w:cs="Arial"/>
                <w:color w:val="auto"/>
                <w:sz w:val="20"/>
                <w:szCs w:val="20"/>
              </w:rPr>
              <w:t xml:space="preserve"> </w:t>
            </w:r>
            <w:r w:rsidR="00E21ACA" w:rsidRPr="00E21ACA">
              <w:rPr>
                <w:rFonts w:ascii="Arial" w:hAnsi="Arial" w:cs="Arial"/>
                <w:color w:val="auto"/>
                <w:sz w:val="20"/>
                <w:szCs w:val="20"/>
              </w:rPr>
              <w:t>A/71/644</w:t>
            </w:r>
            <w:r w:rsidR="00E21ACA">
              <w:t xml:space="preserve">. </w:t>
            </w:r>
            <w:r w:rsidR="00E21ACA" w:rsidRPr="00E21ACA">
              <w:rPr>
                <w:rFonts w:ascii="Arial" w:hAnsi="Arial" w:cs="Arial"/>
                <w:color w:val="auto"/>
                <w:sz w:val="20"/>
                <w:szCs w:val="20"/>
              </w:rPr>
              <w:t>Report of the open-ended intergovernmental expert working group on indicators and terminology relating to disaster risk reduction</w:t>
            </w:r>
          </w:p>
          <w:p w14:paraId="72768110" w14:textId="7B1B993C" w:rsidR="00792EF8" w:rsidRPr="009C1DB5" w:rsidRDefault="00087E69" w:rsidP="00332641">
            <w:pPr>
              <w:pStyle w:val="Normal1"/>
              <w:numPr>
                <w:ilvl w:val="0"/>
                <w:numId w:val="13"/>
              </w:numPr>
              <w:ind w:left="360"/>
              <w:rPr>
                <w:rFonts w:ascii="Arial" w:eastAsia="MS UI Gothic" w:hAnsi="Arial" w:cs="Arial"/>
                <w:sz w:val="20"/>
                <w:szCs w:val="20"/>
              </w:rPr>
            </w:pPr>
            <w:r w:rsidRPr="009C1DB5">
              <w:rPr>
                <w:rFonts w:ascii="Arial" w:eastAsiaTheme="minorEastAsia" w:hAnsi="Arial" w:cs="Arial"/>
                <w:color w:val="auto"/>
                <w:sz w:val="20"/>
                <w:szCs w:val="20"/>
              </w:rPr>
              <w:lastRenderedPageBreak/>
              <w:t>Making Algeria Resilient –Achieving Disaster Risk Reduction in the Arab States: Good Practice Country Brief</w:t>
            </w:r>
            <w:r w:rsidR="00CA6366" w:rsidRPr="009C1DB5">
              <w:rPr>
                <w:rFonts w:ascii="Arial" w:hAnsi="Arial" w:cs="Arial"/>
                <w:sz w:val="20"/>
                <w:szCs w:val="20"/>
              </w:rPr>
              <w:t xml:space="preserve">- </w:t>
            </w:r>
            <w:hyperlink r:id="rId9" w:tgtFrame="_blank" w:history="1">
              <w:r w:rsidRPr="009C1DB5">
                <w:rPr>
                  <w:rStyle w:val="Hyperlink"/>
                  <w:rFonts w:ascii="Arial" w:eastAsia="MS UI Gothic" w:hAnsi="Arial" w:cs="Arial"/>
                  <w:sz w:val="20"/>
                  <w:szCs w:val="20"/>
                </w:rPr>
                <w:t>http://www.undp.org/content/dam/undp/library/crisis%20prevention/disaster/Issue_brief_disaster_risk_reduction_governance_11012013.pdf</w:t>
              </w:r>
            </w:hyperlink>
          </w:p>
          <w:p w14:paraId="75636487" w14:textId="51C41665" w:rsidR="00792EF8" w:rsidRPr="009C1DB5" w:rsidRDefault="00792EF8" w:rsidP="00332641">
            <w:pPr>
              <w:pStyle w:val="Normal1"/>
              <w:numPr>
                <w:ilvl w:val="0"/>
                <w:numId w:val="13"/>
              </w:numPr>
              <w:ind w:left="360"/>
              <w:rPr>
                <w:rFonts w:ascii="Arial" w:hAnsi="Arial" w:cs="Arial"/>
                <w:color w:val="auto"/>
                <w:sz w:val="20"/>
                <w:szCs w:val="20"/>
              </w:rPr>
            </w:pPr>
            <w:r w:rsidRPr="009C1DB5">
              <w:rPr>
                <w:rFonts w:ascii="Arial" w:hAnsi="Arial" w:cs="Arial"/>
                <w:color w:val="auto"/>
                <w:sz w:val="20"/>
                <w:szCs w:val="20"/>
              </w:rPr>
              <w:t xml:space="preserve">Strengthening Disaster Risk Governance - </w:t>
            </w:r>
            <w:hyperlink r:id="rId10" w:history="1">
              <w:r w:rsidR="002C16DA" w:rsidRPr="009C1DB5">
                <w:rPr>
                  <w:rStyle w:val="Hyperlink"/>
                  <w:rFonts w:ascii="Arial" w:hAnsi="Arial" w:cs="Arial"/>
                  <w:sz w:val="20"/>
                  <w:szCs w:val="20"/>
                </w:rPr>
                <w:t>http://www.undp.org/content/dam/undp/library/crisis%20prevention/disaster/Strengthening%20Disaster%20Risk%20Governance-Full-Report.pdf</w:t>
              </w:r>
            </w:hyperlink>
            <w:r w:rsidR="002C16DA" w:rsidRPr="009C1DB5">
              <w:rPr>
                <w:rFonts w:ascii="Arial" w:hAnsi="Arial" w:cs="Arial"/>
                <w:color w:val="auto"/>
                <w:sz w:val="20"/>
                <w:szCs w:val="20"/>
              </w:rPr>
              <w:t xml:space="preserve"> </w:t>
            </w:r>
          </w:p>
          <w:p w14:paraId="0F305035" w14:textId="4D3D814E" w:rsidR="00792EF8" w:rsidRPr="009C1DB5" w:rsidRDefault="00792EF8" w:rsidP="00332641">
            <w:pPr>
              <w:pStyle w:val="Normal1"/>
              <w:numPr>
                <w:ilvl w:val="0"/>
                <w:numId w:val="13"/>
              </w:numPr>
              <w:ind w:left="360"/>
              <w:rPr>
                <w:rFonts w:ascii="Arial" w:hAnsi="Arial" w:cs="Arial"/>
                <w:color w:val="auto"/>
                <w:sz w:val="20"/>
                <w:szCs w:val="20"/>
              </w:rPr>
            </w:pPr>
            <w:r w:rsidRPr="009C1DB5">
              <w:rPr>
                <w:rFonts w:ascii="Arial" w:hAnsi="Arial" w:cs="Arial"/>
                <w:color w:val="auto"/>
                <w:sz w:val="20"/>
                <w:szCs w:val="20"/>
              </w:rPr>
              <w:t xml:space="preserve">Disaster Risk Governance – Unlocking progress and reducing risks - </w:t>
            </w:r>
            <w:hyperlink r:id="rId11" w:history="1">
              <w:r w:rsidRPr="009C1DB5">
                <w:rPr>
                  <w:rStyle w:val="Hyperlink"/>
                  <w:rFonts w:ascii="Arial" w:hAnsi="Arial" w:cs="Arial"/>
                  <w:sz w:val="20"/>
                  <w:szCs w:val="20"/>
                </w:rPr>
                <w:t>https://www.odi.org/sites/odi.org.uk/files/odi-assets/publications-opinion-files/9048.pdf</w:t>
              </w:r>
            </w:hyperlink>
          </w:p>
          <w:p w14:paraId="535D745B" w14:textId="0625EB74" w:rsidR="003B23FB" w:rsidRPr="009C1DB5" w:rsidRDefault="00792EF8" w:rsidP="00332641">
            <w:pPr>
              <w:pStyle w:val="Normal1"/>
              <w:numPr>
                <w:ilvl w:val="0"/>
                <w:numId w:val="13"/>
              </w:numPr>
              <w:ind w:left="360"/>
              <w:rPr>
                <w:rFonts w:ascii="Arial" w:hAnsi="Arial" w:cs="Arial"/>
                <w:color w:val="auto"/>
                <w:sz w:val="20"/>
                <w:szCs w:val="20"/>
              </w:rPr>
            </w:pPr>
            <w:r w:rsidRPr="009C1DB5">
              <w:rPr>
                <w:rFonts w:ascii="Arial" w:hAnsi="Arial" w:cs="Arial"/>
                <w:color w:val="auto"/>
                <w:sz w:val="20"/>
                <w:szCs w:val="20"/>
              </w:rPr>
              <w:t xml:space="preserve">Beyond the volcanic crisis: co-governance of risk in Montserrat - </w:t>
            </w:r>
            <w:hyperlink r:id="rId12" w:history="1">
              <w:r w:rsidR="003B23FB" w:rsidRPr="009C1DB5">
                <w:rPr>
                  <w:rStyle w:val="Hyperlink"/>
                  <w:rFonts w:ascii="Arial" w:hAnsi="Arial" w:cs="Arial"/>
                  <w:sz w:val="20"/>
                  <w:szCs w:val="20"/>
                </w:rPr>
                <w:t>https://appliedvolc.springeropen.com/articles/10.1186/s13617-014-0021-7</w:t>
              </w:r>
            </w:hyperlink>
          </w:p>
          <w:p w14:paraId="4EFAEE89" w14:textId="77777777" w:rsidR="00FF70AB" w:rsidRPr="009C1DB5" w:rsidRDefault="00FF70AB" w:rsidP="00332641">
            <w:pPr>
              <w:pStyle w:val="NormalWeb"/>
              <w:numPr>
                <w:ilvl w:val="0"/>
                <w:numId w:val="13"/>
              </w:numPr>
              <w:spacing w:before="0" w:beforeAutospacing="0" w:after="0" w:afterAutospacing="0"/>
              <w:ind w:left="360"/>
              <w:rPr>
                <w:rFonts w:ascii="Arial" w:eastAsiaTheme="minorEastAsia" w:hAnsi="Arial" w:cs="Arial"/>
                <w:sz w:val="20"/>
                <w:szCs w:val="20"/>
              </w:rPr>
            </w:pPr>
            <w:r w:rsidRPr="009C1DB5">
              <w:rPr>
                <w:rFonts w:ascii="Arial" w:hAnsi="Arial" w:cs="Arial"/>
                <w:sz w:val="20"/>
                <w:szCs w:val="20"/>
                <w:lang w:val="en-US"/>
              </w:rPr>
              <w:t xml:space="preserve">Hettige, S., Amaratunga, D. &amp; Haigh, R. (2015) (Ed.), </w:t>
            </w:r>
            <w:r w:rsidRPr="009C1DB5">
              <w:rPr>
                <w:rFonts w:ascii="Arial" w:eastAsiaTheme="minorEastAsia" w:hAnsi="Arial" w:cs="Arial"/>
                <w:sz w:val="20"/>
                <w:szCs w:val="20"/>
              </w:rPr>
              <w:t>Ensuring Accountability in Disaster Risk Management and Reconstruction Book of Abstracts ,</w:t>
            </w:r>
            <w:r w:rsidRPr="009C1DB5">
              <w:rPr>
                <w:rFonts w:ascii="Arial" w:hAnsi="Arial" w:cs="Arial"/>
                <w:sz w:val="20"/>
                <w:szCs w:val="20"/>
              </w:rPr>
              <w:t xml:space="preserve"> U</w:t>
            </w:r>
            <w:r w:rsidRPr="009C1DB5">
              <w:rPr>
                <w:rFonts w:ascii="Arial" w:eastAsiaTheme="minorEastAsia" w:hAnsi="Arial" w:cs="Arial"/>
                <w:sz w:val="20"/>
                <w:szCs w:val="20"/>
              </w:rPr>
              <w:t>niversity of Colombo and University of Huddersfield 2015 , ISBN 978-1-862181-34-2 (</w:t>
            </w:r>
            <w:hyperlink r:id="rId13" w:history="1">
              <w:r w:rsidRPr="009C1DB5">
                <w:rPr>
                  <w:rStyle w:val="Hyperlink"/>
                  <w:rFonts w:ascii="Arial" w:hAnsi="Arial" w:cs="Arial"/>
                  <w:sz w:val="20"/>
                  <w:szCs w:val="20"/>
                </w:rPr>
                <w:t>http://www.hud.ac.uk/research/researchcentres/gdrc/latestnews/abstractsonensuringaccountabilityindisasterriskmanagement.php</w:t>
              </w:r>
            </w:hyperlink>
            <w:r w:rsidRPr="009C1DB5">
              <w:rPr>
                <w:rFonts w:ascii="Arial" w:hAnsi="Arial" w:cs="Arial"/>
                <w:sz w:val="20"/>
                <w:szCs w:val="20"/>
              </w:rPr>
              <w:t xml:space="preserve"> )</w:t>
            </w:r>
          </w:p>
          <w:p w14:paraId="197BC385" w14:textId="77777777" w:rsidR="00FF70AB" w:rsidRPr="009C1DB5" w:rsidRDefault="00FF70AB" w:rsidP="00332641">
            <w:pPr>
              <w:pStyle w:val="ListParagraph"/>
              <w:numPr>
                <w:ilvl w:val="0"/>
                <w:numId w:val="13"/>
              </w:numPr>
              <w:ind w:left="360"/>
              <w:contextualSpacing w:val="0"/>
              <w:rPr>
                <w:rFonts w:ascii="Arial" w:hAnsi="Arial" w:cs="Arial"/>
                <w:sz w:val="20"/>
                <w:szCs w:val="20"/>
              </w:rPr>
            </w:pPr>
            <w:r w:rsidRPr="009C1DB5">
              <w:rPr>
                <w:rFonts w:ascii="Arial" w:hAnsi="Arial" w:cs="Arial"/>
                <w:bCs/>
                <w:sz w:val="20"/>
                <w:szCs w:val="20"/>
              </w:rPr>
              <w:t>Haigh, R., Amaratunga, D &amp; Hettige, S. (2015). Briefing paper on “Ensuring Accountability in Disaster Risk Management and Reconstruction"</w:t>
            </w:r>
            <w:r w:rsidRPr="009C1DB5">
              <w:rPr>
                <w:rFonts w:ascii="Arial" w:hAnsi="Arial" w:cs="Arial"/>
                <w:sz w:val="20"/>
                <w:szCs w:val="20"/>
              </w:rPr>
              <w:t xml:space="preserve"> organized as a part of a global, regional and national partnership by SPARC, University of Colombo-Sri Lanka and Global Disaster Resilience Centre (GDRC), University of Huddersfield-UK, and Essex Accounting Centre, UK. (</w:t>
            </w:r>
            <w:hyperlink r:id="rId14" w:history="1">
              <w:r w:rsidRPr="009C1DB5">
                <w:rPr>
                  <w:rStyle w:val="Hyperlink"/>
                  <w:rFonts w:ascii="Arial" w:hAnsi="Arial" w:cs="Arial"/>
                  <w:sz w:val="20"/>
                  <w:szCs w:val="20"/>
                </w:rPr>
                <w:t>http://www.hud.ac.uk/research/researchcentres/gdrc/latestnews/briefingpaperondisastersandaccountability.php</w:t>
              </w:r>
            </w:hyperlink>
            <w:r w:rsidRPr="009C1DB5">
              <w:rPr>
                <w:rFonts w:ascii="Arial" w:hAnsi="Arial" w:cs="Arial"/>
                <w:sz w:val="20"/>
                <w:szCs w:val="20"/>
              </w:rPr>
              <w:t xml:space="preserve"> )</w:t>
            </w:r>
          </w:p>
          <w:p w14:paraId="409629AD" w14:textId="0638E51C" w:rsidR="003B23FB" w:rsidRPr="00332641" w:rsidRDefault="00FF70AB" w:rsidP="00332641">
            <w:pPr>
              <w:pStyle w:val="ListParagraph"/>
              <w:numPr>
                <w:ilvl w:val="0"/>
                <w:numId w:val="13"/>
              </w:numPr>
              <w:ind w:left="360"/>
              <w:contextualSpacing w:val="0"/>
              <w:rPr>
                <w:rFonts w:ascii="Arial" w:hAnsi="Arial" w:cs="Arial"/>
                <w:sz w:val="22"/>
                <w:szCs w:val="20"/>
              </w:rPr>
            </w:pPr>
            <w:r w:rsidRPr="009C1DB5">
              <w:rPr>
                <w:rFonts w:ascii="Arial" w:hAnsi="Arial" w:cs="Arial"/>
                <w:sz w:val="20"/>
                <w:szCs w:val="20"/>
              </w:rPr>
              <w:t xml:space="preserve">Amaratunga, D., Haigh, R &amp; Hettige, S (2016), </w:t>
            </w:r>
            <w:r w:rsidRPr="009C1DB5">
              <w:rPr>
                <w:rFonts w:ascii="Arial" w:eastAsia="MS Mincho" w:hAnsi="Arial" w:cs="Arial"/>
                <w:bCs/>
                <w:sz w:val="20"/>
                <w:szCs w:val="20"/>
              </w:rPr>
              <w:t xml:space="preserve">Ensuring Accountability in Disaster Risk Management and Reconstruction. In the Proceedings of the </w:t>
            </w:r>
            <w:r w:rsidRPr="009C1DB5">
              <w:rPr>
                <w:rFonts w:ascii="Arial" w:hAnsi="Arial" w:cs="Arial"/>
                <w:sz w:val="20"/>
                <w:szCs w:val="20"/>
              </w:rPr>
              <w:t>6th International Conference on Building Resilience 2016: “Building Resilience to Address the Unexpected”, organised jointly by the Construction Management Groups at Massey University and the University of Auckland, New Zealand. (</w:t>
            </w:r>
            <w:hyperlink r:id="rId15" w:history="1">
              <w:r w:rsidR="00332641" w:rsidRPr="009C1DB5">
                <w:rPr>
                  <w:rStyle w:val="Hyperlink"/>
                  <w:rFonts w:ascii="Arial" w:hAnsi="Arial" w:cs="Arial"/>
                  <w:sz w:val="20"/>
                  <w:szCs w:val="20"/>
                </w:rPr>
                <w:t>http://eprints.hud.ac.uk/30329/</w:t>
              </w:r>
            </w:hyperlink>
            <w:r w:rsidRPr="009C1DB5">
              <w:rPr>
                <w:rFonts w:ascii="Arial" w:hAnsi="Arial" w:cs="Arial"/>
                <w:sz w:val="20"/>
                <w:szCs w:val="20"/>
              </w:rPr>
              <w:t>)</w:t>
            </w:r>
            <w:r w:rsidR="00332641">
              <w:rPr>
                <w:rFonts w:ascii="Arial" w:hAnsi="Arial" w:cs="Arial"/>
                <w:sz w:val="20"/>
                <w:szCs w:val="20"/>
              </w:rPr>
              <w:t xml:space="preserve"> </w:t>
            </w:r>
          </w:p>
        </w:tc>
      </w:tr>
    </w:tbl>
    <w:p w14:paraId="6319ED1E" w14:textId="77777777" w:rsidR="00D07E90" w:rsidRPr="00B72990" w:rsidRDefault="00D07E90" w:rsidP="00332641">
      <w:pPr>
        <w:spacing w:after="0" w:line="240" w:lineRule="auto"/>
        <w:ind w:right="-23"/>
        <w:rPr>
          <w:rFonts w:ascii="Arial" w:hAnsi="Arial"/>
          <w:b/>
          <w:bCs/>
          <w:sz w:val="24"/>
          <w:szCs w:val="24"/>
        </w:rPr>
      </w:pPr>
    </w:p>
    <w:p w14:paraId="4EEC042E" w14:textId="77777777" w:rsidR="00E2377A" w:rsidRDefault="00E2377A" w:rsidP="00332641">
      <w:pPr>
        <w:spacing w:after="0" w:line="240" w:lineRule="auto"/>
      </w:pPr>
    </w:p>
    <w:p w14:paraId="544A103E" w14:textId="77777777" w:rsidR="00E2377A" w:rsidRDefault="00E2377A" w:rsidP="00332641">
      <w:pPr>
        <w:spacing w:after="0" w:line="240" w:lineRule="auto"/>
      </w:pPr>
    </w:p>
    <w:p w14:paraId="385DFE41" w14:textId="77777777" w:rsidR="00E2377A" w:rsidRDefault="00E2377A" w:rsidP="00332641">
      <w:pPr>
        <w:spacing w:after="0" w:line="240" w:lineRule="auto"/>
      </w:pPr>
    </w:p>
    <w:sectPr w:rsidR="00E2377A" w:rsidSect="00DB72C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7EF"/>
    <w:multiLevelType w:val="hybridMultilevel"/>
    <w:tmpl w:val="B53E7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2A3D11"/>
    <w:multiLevelType w:val="hybridMultilevel"/>
    <w:tmpl w:val="079A1B74"/>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
    <w:nsid w:val="10BB187C"/>
    <w:multiLevelType w:val="hybridMultilevel"/>
    <w:tmpl w:val="EA928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F18E3"/>
    <w:multiLevelType w:val="hybridMultilevel"/>
    <w:tmpl w:val="5C2A1C28"/>
    <w:lvl w:ilvl="0" w:tplc="04090001">
      <w:start w:val="1"/>
      <w:numFmt w:val="bullet"/>
      <w:lvlText w:val=""/>
      <w:lvlJc w:val="left"/>
      <w:pPr>
        <w:ind w:left="414" w:hanging="360"/>
      </w:pPr>
      <w:rPr>
        <w:rFonts w:ascii="Symbol" w:hAnsi="Symbol"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4">
    <w:nsid w:val="130D1C15"/>
    <w:multiLevelType w:val="hybridMultilevel"/>
    <w:tmpl w:val="3C82BF44"/>
    <w:lvl w:ilvl="0" w:tplc="180A0001">
      <w:start w:val="1"/>
      <w:numFmt w:val="bullet"/>
      <w:lvlText w:val=""/>
      <w:lvlJc w:val="left"/>
      <w:pPr>
        <w:ind w:left="1124" w:hanging="360"/>
      </w:pPr>
      <w:rPr>
        <w:rFonts w:ascii="Symbol" w:hAnsi="Symbol" w:hint="default"/>
      </w:rPr>
    </w:lvl>
    <w:lvl w:ilvl="1" w:tplc="180A0003" w:tentative="1">
      <w:start w:val="1"/>
      <w:numFmt w:val="bullet"/>
      <w:lvlText w:val="o"/>
      <w:lvlJc w:val="left"/>
      <w:pPr>
        <w:ind w:left="1844" w:hanging="360"/>
      </w:pPr>
      <w:rPr>
        <w:rFonts w:ascii="Courier New" w:hAnsi="Courier New" w:cs="Courier New" w:hint="default"/>
      </w:rPr>
    </w:lvl>
    <w:lvl w:ilvl="2" w:tplc="180A0005" w:tentative="1">
      <w:start w:val="1"/>
      <w:numFmt w:val="bullet"/>
      <w:lvlText w:val=""/>
      <w:lvlJc w:val="left"/>
      <w:pPr>
        <w:ind w:left="2564" w:hanging="360"/>
      </w:pPr>
      <w:rPr>
        <w:rFonts w:ascii="Wingdings" w:hAnsi="Wingdings" w:hint="default"/>
      </w:rPr>
    </w:lvl>
    <w:lvl w:ilvl="3" w:tplc="180A0001" w:tentative="1">
      <w:start w:val="1"/>
      <w:numFmt w:val="bullet"/>
      <w:lvlText w:val=""/>
      <w:lvlJc w:val="left"/>
      <w:pPr>
        <w:ind w:left="3284" w:hanging="360"/>
      </w:pPr>
      <w:rPr>
        <w:rFonts w:ascii="Symbol" w:hAnsi="Symbol" w:hint="default"/>
      </w:rPr>
    </w:lvl>
    <w:lvl w:ilvl="4" w:tplc="180A0003" w:tentative="1">
      <w:start w:val="1"/>
      <w:numFmt w:val="bullet"/>
      <w:lvlText w:val="o"/>
      <w:lvlJc w:val="left"/>
      <w:pPr>
        <w:ind w:left="4004" w:hanging="360"/>
      </w:pPr>
      <w:rPr>
        <w:rFonts w:ascii="Courier New" w:hAnsi="Courier New" w:cs="Courier New" w:hint="default"/>
      </w:rPr>
    </w:lvl>
    <w:lvl w:ilvl="5" w:tplc="180A0005" w:tentative="1">
      <w:start w:val="1"/>
      <w:numFmt w:val="bullet"/>
      <w:lvlText w:val=""/>
      <w:lvlJc w:val="left"/>
      <w:pPr>
        <w:ind w:left="4724" w:hanging="360"/>
      </w:pPr>
      <w:rPr>
        <w:rFonts w:ascii="Wingdings" w:hAnsi="Wingdings" w:hint="default"/>
      </w:rPr>
    </w:lvl>
    <w:lvl w:ilvl="6" w:tplc="180A0001" w:tentative="1">
      <w:start w:val="1"/>
      <w:numFmt w:val="bullet"/>
      <w:lvlText w:val=""/>
      <w:lvlJc w:val="left"/>
      <w:pPr>
        <w:ind w:left="5444" w:hanging="360"/>
      </w:pPr>
      <w:rPr>
        <w:rFonts w:ascii="Symbol" w:hAnsi="Symbol" w:hint="default"/>
      </w:rPr>
    </w:lvl>
    <w:lvl w:ilvl="7" w:tplc="180A0003" w:tentative="1">
      <w:start w:val="1"/>
      <w:numFmt w:val="bullet"/>
      <w:lvlText w:val="o"/>
      <w:lvlJc w:val="left"/>
      <w:pPr>
        <w:ind w:left="6164" w:hanging="360"/>
      </w:pPr>
      <w:rPr>
        <w:rFonts w:ascii="Courier New" w:hAnsi="Courier New" w:cs="Courier New" w:hint="default"/>
      </w:rPr>
    </w:lvl>
    <w:lvl w:ilvl="8" w:tplc="180A0005" w:tentative="1">
      <w:start w:val="1"/>
      <w:numFmt w:val="bullet"/>
      <w:lvlText w:val=""/>
      <w:lvlJc w:val="left"/>
      <w:pPr>
        <w:ind w:left="6884" w:hanging="360"/>
      </w:pPr>
      <w:rPr>
        <w:rFonts w:ascii="Wingdings" w:hAnsi="Wingdings" w:hint="default"/>
      </w:rPr>
    </w:lvl>
  </w:abstractNum>
  <w:abstractNum w:abstractNumId="5">
    <w:nsid w:val="198234BC"/>
    <w:multiLevelType w:val="hybridMultilevel"/>
    <w:tmpl w:val="716847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EA20ED"/>
    <w:multiLevelType w:val="hybridMultilevel"/>
    <w:tmpl w:val="A0F6793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7">
    <w:nsid w:val="1DB321EA"/>
    <w:multiLevelType w:val="hybridMultilevel"/>
    <w:tmpl w:val="A3D6CC50"/>
    <w:lvl w:ilvl="0" w:tplc="04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3A4AEB"/>
    <w:multiLevelType w:val="hybridMultilevel"/>
    <w:tmpl w:val="9A808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BA4B56"/>
    <w:multiLevelType w:val="hybridMultilevel"/>
    <w:tmpl w:val="E104E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500C89"/>
    <w:multiLevelType w:val="hybridMultilevel"/>
    <w:tmpl w:val="48BE0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B50151"/>
    <w:multiLevelType w:val="hybridMultilevel"/>
    <w:tmpl w:val="C1E6425A"/>
    <w:lvl w:ilvl="0" w:tplc="04090001">
      <w:start w:val="1"/>
      <w:numFmt w:val="bullet"/>
      <w:lvlText w:val=""/>
      <w:lvlJc w:val="left"/>
      <w:pPr>
        <w:ind w:left="720" w:hanging="360"/>
      </w:pPr>
      <w:rPr>
        <w:rFonts w:ascii="Symbol" w:hAnsi="Symbol" w:hint="default"/>
      </w:rPr>
    </w:lvl>
    <w:lvl w:ilvl="1" w:tplc="D1F2DE24">
      <w:start w:val="13"/>
      <w:numFmt w:val="bullet"/>
      <w:lvlText w:val="-"/>
      <w:lvlJc w:val="left"/>
      <w:pPr>
        <w:ind w:left="1580" w:hanging="50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36933"/>
    <w:multiLevelType w:val="hybridMultilevel"/>
    <w:tmpl w:val="53149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CD6F48"/>
    <w:multiLevelType w:val="hybridMultilevel"/>
    <w:tmpl w:val="C332DEB4"/>
    <w:lvl w:ilvl="0" w:tplc="0C0A0001">
      <w:start w:val="1"/>
      <w:numFmt w:val="bullet"/>
      <w:lvlText w:val=""/>
      <w:lvlJc w:val="left"/>
      <w:pPr>
        <w:ind w:left="1124" w:hanging="360"/>
      </w:pPr>
      <w:rPr>
        <w:rFonts w:ascii="Symbol" w:hAnsi="Symbol" w:hint="default"/>
      </w:rPr>
    </w:lvl>
    <w:lvl w:ilvl="1" w:tplc="0C0A0003" w:tentative="1">
      <w:start w:val="1"/>
      <w:numFmt w:val="bullet"/>
      <w:lvlText w:val="o"/>
      <w:lvlJc w:val="left"/>
      <w:pPr>
        <w:ind w:left="1844" w:hanging="360"/>
      </w:pPr>
      <w:rPr>
        <w:rFonts w:ascii="Courier New" w:hAnsi="Courier New" w:hint="default"/>
      </w:rPr>
    </w:lvl>
    <w:lvl w:ilvl="2" w:tplc="0C0A0005" w:tentative="1">
      <w:start w:val="1"/>
      <w:numFmt w:val="bullet"/>
      <w:lvlText w:val=""/>
      <w:lvlJc w:val="left"/>
      <w:pPr>
        <w:ind w:left="2564" w:hanging="360"/>
      </w:pPr>
      <w:rPr>
        <w:rFonts w:ascii="Wingdings" w:hAnsi="Wingdings" w:hint="default"/>
      </w:rPr>
    </w:lvl>
    <w:lvl w:ilvl="3" w:tplc="0C0A0001" w:tentative="1">
      <w:start w:val="1"/>
      <w:numFmt w:val="bullet"/>
      <w:lvlText w:val=""/>
      <w:lvlJc w:val="left"/>
      <w:pPr>
        <w:ind w:left="3284" w:hanging="360"/>
      </w:pPr>
      <w:rPr>
        <w:rFonts w:ascii="Symbol" w:hAnsi="Symbol" w:hint="default"/>
      </w:rPr>
    </w:lvl>
    <w:lvl w:ilvl="4" w:tplc="0C0A0003" w:tentative="1">
      <w:start w:val="1"/>
      <w:numFmt w:val="bullet"/>
      <w:lvlText w:val="o"/>
      <w:lvlJc w:val="left"/>
      <w:pPr>
        <w:ind w:left="4004" w:hanging="360"/>
      </w:pPr>
      <w:rPr>
        <w:rFonts w:ascii="Courier New" w:hAnsi="Courier New" w:hint="default"/>
      </w:rPr>
    </w:lvl>
    <w:lvl w:ilvl="5" w:tplc="0C0A0005" w:tentative="1">
      <w:start w:val="1"/>
      <w:numFmt w:val="bullet"/>
      <w:lvlText w:val=""/>
      <w:lvlJc w:val="left"/>
      <w:pPr>
        <w:ind w:left="4724" w:hanging="360"/>
      </w:pPr>
      <w:rPr>
        <w:rFonts w:ascii="Wingdings" w:hAnsi="Wingdings" w:hint="default"/>
      </w:rPr>
    </w:lvl>
    <w:lvl w:ilvl="6" w:tplc="0C0A0001" w:tentative="1">
      <w:start w:val="1"/>
      <w:numFmt w:val="bullet"/>
      <w:lvlText w:val=""/>
      <w:lvlJc w:val="left"/>
      <w:pPr>
        <w:ind w:left="5444" w:hanging="360"/>
      </w:pPr>
      <w:rPr>
        <w:rFonts w:ascii="Symbol" w:hAnsi="Symbol" w:hint="default"/>
      </w:rPr>
    </w:lvl>
    <w:lvl w:ilvl="7" w:tplc="0C0A0003" w:tentative="1">
      <w:start w:val="1"/>
      <w:numFmt w:val="bullet"/>
      <w:lvlText w:val="o"/>
      <w:lvlJc w:val="left"/>
      <w:pPr>
        <w:ind w:left="6164" w:hanging="360"/>
      </w:pPr>
      <w:rPr>
        <w:rFonts w:ascii="Courier New" w:hAnsi="Courier New" w:hint="default"/>
      </w:rPr>
    </w:lvl>
    <w:lvl w:ilvl="8" w:tplc="0C0A0005" w:tentative="1">
      <w:start w:val="1"/>
      <w:numFmt w:val="bullet"/>
      <w:lvlText w:val=""/>
      <w:lvlJc w:val="left"/>
      <w:pPr>
        <w:ind w:left="6884" w:hanging="360"/>
      </w:pPr>
      <w:rPr>
        <w:rFonts w:ascii="Wingdings" w:hAnsi="Wingdings" w:hint="default"/>
      </w:rPr>
    </w:lvl>
  </w:abstractNum>
  <w:abstractNum w:abstractNumId="14">
    <w:nsid w:val="360F1151"/>
    <w:multiLevelType w:val="hybridMultilevel"/>
    <w:tmpl w:val="1200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55E3A"/>
    <w:multiLevelType w:val="hybridMultilevel"/>
    <w:tmpl w:val="B1B056EA"/>
    <w:lvl w:ilvl="0" w:tplc="0809000F">
      <w:start w:val="1"/>
      <w:numFmt w:val="decimal"/>
      <w:lvlText w:val="%1."/>
      <w:lvlJc w:val="left"/>
      <w:pPr>
        <w:ind w:left="720" w:hanging="360"/>
      </w:pPr>
    </w:lvl>
    <w:lvl w:ilvl="1" w:tplc="C56C65D8">
      <w:numFmt w:val="bullet"/>
      <w:lvlText w:val="-"/>
      <w:lvlJc w:val="left"/>
      <w:pPr>
        <w:ind w:left="1560" w:hanging="480"/>
      </w:pPr>
      <w:rPr>
        <w:rFonts w:ascii="Helvetica" w:eastAsia="SimSun" w:hAnsi="Helvetica" w:cs="Helvetic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D552AC"/>
    <w:multiLevelType w:val="hybridMultilevel"/>
    <w:tmpl w:val="9F3C3C7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7">
    <w:nsid w:val="3752001A"/>
    <w:multiLevelType w:val="hybridMultilevel"/>
    <w:tmpl w:val="07C2EDAE"/>
    <w:lvl w:ilvl="0" w:tplc="0C0A0001">
      <w:start w:val="1"/>
      <w:numFmt w:val="bullet"/>
      <w:lvlText w:val=""/>
      <w:lvlJc w:val="left"/>
      <w:pPr>
        <w:ind w:left="764" w:hanging="360"/>
      </w:pPr>
      <w:rPr>
        <w:rFonts w:ascii="Symbol" w:hAnsi="Symbol" w:hint="default"/>
      </w:rPr>
    </w:lvl>
    <w:lvl w:ilvl="1" w:tplc="0C0A0003" w:tentative="1">
      <w:start w:val="1"/>
      <w:numFmt w:val="bullet"/>
      <w:lvlText w:val="o"/>
      <w:lvlJc w:val="left"/>
      <w:pPr>
        <w:ind w:left="1484" w:hanging="360"/>
      </w:pPr>
      <w:rPr>
        <w:rFonts w:ascii="Courier New" w:hAnsi="Courier New" w:hint="default"/>
      </w:rPr>
    </w:lvl>
    <w:lvl w:ilvl="2" w:tplc="0C0A0005" w:tentative="1">
      <w:start w:val="1"/>
      <w:numFmt w:val="bullet"/>
      <w:lvlText w:val=""/>
      <w:lvlJc w:val="left"/>
      <w:pPr>
        <w:ind w:left="2204" w:hanging="360"/>
      </w:pPr>
      <w:rPr>
        <w:rFonts w:ascii="Wingdings" w:hAnsi="Wingdings" w:hint="default"/>
      </w:rPr>
    </w:lvl>
    <w:lvl w:ilvl="3" w:tplc="0C0A0001" w:tentative="1">
      <w:start w:val="1"/>
      <w:numFmt w:val="bullet"/>
      <w:lvlText w:val=""/>
      <w:lvlJc w:val="left"/>
      <w:pPr>
        <w:ind w:left="2924" w:hanging="360"/>
      </w:pPr>
      <w:rPr>
        <w:rFonts w:ascii="Symbol" w:hAnsi="Symbol" w:hint="default"/>
      </w:rPr>
    </w:lvl>
    <w:lvl w:ilvl="4" w:tplc="0C0A0003" w:tentative="1">
      <w:start w:val="1"/>
      <w:numFmt w:val="bullet"/>
      <w:lvlText w:val="o"/>
      <w:lvlJc w:val="left"/>
      <w:pPr>
        <w:ind w:left="3644" w:hanging="360"/>
      </w:pPr>
      <w:rPr>
        <w:rFonts w:ascii="Courier New" w:hAnsi="Courier New" w:hint="default"/>
      </w:rPr>
    </w:lvl>
    <w:lvl w:ilvl="5" w:tplc="0C0A0005" w:tentative="1">
      <w:start w:val="1"/>
      <w:numFmt w:val="bullet"/>
      <w:lvlText w:val=""/>
      <w:lvlJc w:val="left"/>
      <w:pPr>
        <w:ind w:left="4364" w:hanging="360"/>
      </w:pPr>
      <w:rPr>
        <w:rFonts w:ascii="Wingdings" w:hAnsi="Wingdings" w:hint="default"/>
      </w:rPr>
    </w:lvl>
    <w:lvl w:ilvl="6" w:tplc="0C0A0001" w:tentative="1">
      <w:start w:val="1"/>
      <w:numFmt w:val="bullet"/>
      <w:lvlText w:val=""/>
      <w:lvlJc w:val="left"/>
      <w:pPr>
        <w:ind w:left="5084" w:hanging="360"/>
      </w:pPr>
      <w:rPr>
        <w:rFonts w:ascii="Symbol" w:hAnsi="Symbol" w:hint="default"/>
      </w:rPr>
    </w:lvl>
    <w:lvl w:ilvl="7" w:tplc="0C0A0003" w:tentative="1">
      <w:start w:val="1"/>
      <w:numFmt w:val="bullet"/>
      <w:lvlText w:val="o"/>
      <w:lvlJc w:val="left"/>
      <w:pPr>
        <w:ind w:left="5804" w:hanging="360"/>
      </w:pPr>
      <w:rPr>
        <w:rFonts w:ascii="Courier New" w:hAnsi="Courier New" w:hint="default"/>
      </w:rPr>
    </w:lvl>
    <w:lvl w:ilvl="8" w:tplc="0C0A0005" w:tentative="1">
      <w:start w:val="1"/>
      <w:numFmt w:val="bullet"/>
      <w:lvlText w:val=""/>
      <w:lvlJc w:val="left"/>
      <w:pPr>
        <w:ind w:left="6524" w:hanging="360"/>
      </w:pPr>
      <w:rPr>
        <w:rFonts w:ascii="Wingdings" w:hAnsi="Wingdings" w:hint="default"/>
      </w:rPr>
    </w:lvl>
  </w:abstractNum>
  <w:abstractNum w:abstractNumId="18">
    <w:nsid w:val="3E202353"/>
    <w:multiLevelType w:val="hybridMultilevel"/>
    <w:tmpl w:val="AFC4832E"/>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3B3F62"/>
    <w:multiLevelType w:val="hybridMultilevel"/>
    <w:tmpl w:val="8F203974"/>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0">
    <w:nsid w:val="4A921439"/>
    <w:multiLevelType w:val="hybridMultilevel"/>
    <w:tmpl w:val="0C94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5E1122"/>
    <w:multiLevelType w:val="hybridMultilevel"/>
    <w:tmpl w:val="A21C9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FA5D9D"/>
    <w:multiLevelType w:val="hybridMultilevel"/>
    <w:tmpl w:val="30BE479A"/>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3">
    <w:nsid w:val="5E19278F"/>
    <w:multiLevelType w:val="hybridMultilevel"/>
    <w:tmpl w:val="CBEE141A"/>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4">
    <w:nsid w:val="6007286D"/>
    <w:multiLevelType w:val="hybridMultilevel"/>
    <w:tmpl w:val="6EA40BFC"/>
    <w:lvl w:ilvl="0" w:tplc="BBA2CEEA">
      <w:numFmt w:val="bullet"/>
      <w:lvlText w:val="•"/>
      <w:lvlJc w:val="left"/>
      <w:pPr>
        <w:ind w:left="72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3A6A5C"/>
    <w:multiLevelType w:val="hybridMultilevel"/>
    <w:tmpl w:val="17243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50303D"/>
    <w:multiLevelType w:val="hybridMultilevel"/>
    <w:tmpl w:val="8598915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86E40"/>
    <w:multiLevelType w:val="hybridMultilevel"/>
    <w:tmpl w:val="5E229174"/>
    <w:lvl w:ilvl="0" w:tplc="401002D8">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8">
    <w:nsid w:val="76C47C07"/>
    <w:multiLevelType w:val="hybridMultilevel"/>
    <w:tmpl w:val="CE1CC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28"/>
  </w:num>
  <w:num w:numId="5">
    <w:abstractNumId w:val="18"/>
  </w:num>
  <w:num w:numId="6">
    <w:abstractNumId w:val="27"/>
  </w:num>
  <w:num w:numId="7">
    <w:abstractNumId w:val="24"/>
  </w:num>
  <w:num w:numId="8">
    <w:abstractNumId w:val="3"/>
  </w:num>
  <w:num w:numId="9">
    <w:abstractNumId w:val="1"/>
  </w:num>
  <w:num w:numId="10">
    <w:abstractNumId w:val="23"/>
  </w:num>
  <w:num w:numId="11">
    <w:abstractNumId w:val="19"/>
  </w:num>
  <w:num w:numId="12">
    <w:abstractNumId w:val="22"/>
  </w:num>
  <w:num w:numId="13">
    <w:abstractNumId w:val="14"/>
  </w:num>
  <w:num w:numId="14">
    <w:abstractNumId w:val="11"/>
  </w:num>
  <w:num w:numId="15">
    <w:abstractNumId w:val="6"/>
  </w:num>
  <w:num w:numId="16">
    <w:abstractNumId w:val="7"/>
  </w:num>
  <w:num w:numId="17">
    <w:abstractNumId w:val="0"/>
  </w:num>
  <w:num w:numId="18">
    <w:abstractNumId w:val="26"/>
  </w:num>
  <w:num w:numId="19">
    <w:abstractNumId w:val="5"/>
  </w:num>
  <w:num w:numId="20">
    <w:abstractNumId w:val="9"/>
  </w:num>
  <w:num w:numId="21">
    <w:abstractNumId w:val="20"/>
  </w:num>
  <w:num w:numId="22">
    <w:abstractNumId w:val="2"/>
  </w:num>
  <w:num w:numId="23">
    <w:abstractNumId w:val="25"/>
  </w:num>
  <w:num w:numId="24">
    <w:abstractNumId w:val="10"/>
  </w:num>
  <w:num w:numId="25">
    <w:abstractNumId w:val="12"/>
  </w:num>
  <w:num w:numId="26">
    <w:abstractNumId w:val="8"/>
  </w:num>
  <w:num w:numId="27">
    <w:abstractNumId w:val="17"/>
  </w:num>
  <w:num w:numId="28">
    <w:abstractNumId w:val="13"/>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ardo Mena">
    <w15:presenceInfo w15:providerId="Windows Live" w15:userId="c51b41b3c46bfd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90"/>
    <w:rsid w:val="0001250A"/>
    <w:rsid w:val="00030A96"/>
    <w:rsid w:val="000360AB"/>
    <w:rsid w:val="0006164A"/>
    <w:rsid w:val="00064FAF"/>
    <w:rsid w:val="000711CE"/>
    <w:rsid w:val="000809F0"/>
    <w:rsid w:val="00087E69"/>
    <w:rsid w:val="0009197F"/>
    <w:rsid w:val="000B368B"/>
    <w:rsid w:val="000E3700"/>
    <w:rsid w:val="000F28CE"/>
    <w:rsid w:val="0010313A"/>
    <w:rsid w:val="00114B7B"/>
    <w:rsid w:val="00115F79"/>
    <w:rsid w:val="00121E3A"/>
    <w:rsid w:val="001257D8"/>
    <w:rsid w:val="001257F1"/>
    <w:rsid w:val="00132808"/>
    <w:rsid w:val="001341B2"/>
    <w:rsid w:val="00135914"/>
    <w:rsid w:val="001433E9"/>
    <w:rsid w:val="00146BD0"/>
    <w:rsid w:val="001515A5"/>
    <w:rsid w:val="001530D0"/>
    <w:rsid w:val="0017385A"/>
    <w:rsid w:val="00176624"/>
    <w:rsid w:val="001868EE"/>
    <w:rsid w:val="00193870"/>
    <w:rsid w:val="001C1F72"/>
    <w:rsid w:val="001D582A"/>
    <w:rsid w:val="001E38CE"/>
    <w:rsid w:val="001F528B"/>
    <w:rsid w:val="002074DA"/>
    <w:rsid w:val="00217810"/>
    <w:rsid w:val="00221EA1"/>
    <w:rsid w:val="00222790"/>
    <w:rsid w:val="00224D98"/>
    <w:rsid w:val="00250364"/>
    <w:rsid w:val="00255BF1"/>
    <w:rsid w:val="002914F1"/>
    <w:rsid w:val="002A5F0D"/>
    <w:rsid w:val="002B02C6"/>
    <w:rsid w:val="002C16DA"/>
    <w:rsid w:val="002D1DF1"/>
    <w:rsid w:val="002D51CF"/>
    <w:rsid w:val="002F65D2"/>
    <w:rsid w:val="00306315"/>
    <w:rsid w:val="00320E1D"/>
    <w:rsid w:val="00323B57"/>
    <w:rsid w:val="00324D4A"/>
    <w:rsid w:val="00325557"/>
    <w:rsid w:val="00332641"/>
    <w:rsid w:val="0034480E"/>
    <w:rsid w:val="003465E8"/>
    <w:rsid w:val="003535F6"/>
    <w:rsid w:val="003708B5"/>
    <w:rsid w:val="00376787"/>
    <w:rsid w:val="003A5811"/>
    <w:rsid w:val="003B23FB"/>
    <w:rsid w:val="003B2AE0"/>
    <w:rsid w:val="003B6A15"/>
    <w:rsid w:val="003C10C1"/>
    <w:rsid w:val="003E3FA8"/>
    <w:rsid w:val="003E61AB"/>
    <w:rsid w:val="003E6A2D"/>
    <w:rsid w:val="003F3327"/>
    <w:rsid w:val="003F4D8E"/>
    <w:rsid w:val="00403816"/>
    <w:rsid w:val="004060E2"/>
    <w:rsid w:val="00410B78"/>
    <w:rsid w:val="00411D65"/>
    <w:rsid w:val="00417C4C"/>
    <w:rsid w:val="00431586"/>
    <w:rsid w:val="00434C3A"/>
    <w:rsid w:val="00451424"/>
    <w:rsid w:val="004531A3"/>
    <w:rsid w:val="00457145"/>
    <w:rsid w:val="004638EC"/>
    <w:rsid w:val="00481990"/>
    <w:rsid w:val="0048449A"/>
    <w:rsid w:val="0048776B"/>
    <w:rsid w:val="00494BCD"/>
    <w:rsid w:val="004A3A33"/>
    <w:rsid w:val="004C19C2"/>
    <w:rsid w:val="004D0C7B"/>
    <w:rsid w:val="004E7156"/>
    <w:rsid w:val="004F3BFE"/>
    <w:rsid w:val="004F483A"/>
    <w:rsid w:val="004F6CE7"/>
    <w:rsid w:val="00501D8D"/>
    <w:rsid w:val="00503E77"/>
    <w:rsid w:val="005135C1"/>
    <w:rsid w:val="005173E9"/>
    <w:rsid w:val="00532B9C"/>
    <w:rsid w:val="00533A2F"/>
    <w:rsid w:val="005428C9"/>
    <w:rsid w:val="005543A7"/>
    <w:rsid w:val="005675BF"/>
    <w:rsid w:val="005839CF"/>
    <w:rsid w:val="005935DA"/>
    <w:rsid w:val="005B2B35"/>
    <w:rsid w:val="005F0E5E"/>
    <w:rsid w:val="005F1EF7"/>
    <w:rsid w:val="005F26DD"/>
    <w:rsid w:val="005F3CC9"/>
    <w:rsid w:val="00600644"/>
    <w:rsid w:val="00624BE4"/>
    <w:rsid w:val="0062612B"/>
    <w:rsid w:val="00657765"/>
    <w:rsid w:val="00662488"/>
    <w:rsid w:val="00677068"/>
    <w:rsid w:val="006A0954"/>
    <w:rsid w:val="006B2577"/>
    <w:rsid w:val="006C3D8E"/>
    <w:rsid w:val="006C4C78"/>
    <w:rsid w:val="006D25E1"/>
    <w:rsid w:val="006D3A15"/>
    <w:rsid w:val="006E66F6"/>
    <w:rsid w:val="006F2069"/>
    <w:rsid w:val="006F649F"/>
    <w:rsid w:val="007111D9"/>
    <w:rsid w:val="007136A6"/>
    <w:rsid w:val="00736CA5"/>
    <w:rsid w:val="00744682"/>
    <w:rsid w:val="00756712"/>
    <w:rsid w:val="00760C96"/>
    <w:rsid w:val="00764764"/>
    <w:rsid w:val="00765FC1"/>
    <w:rsid w:val="00774C2A"/>
    <w:rsid w:val="00780DCE"/>
    <w:rsid w:val="00784C3F"/>
    <w:rsid w:val="00792EF8"/>
    <w:rsid w:val="007A0505"/>
    <w:rsid w:val="007A0D17"/>
    <w:rsid w:val="007D6AB3"/>
    <w:rsid w:val="007E011A"/>
    <w:rsid w:val="007E16AB"/>
    <w:rsid w:val="007E454C"/>
    <w:rsid w:val="007E6147"/>
    <w:rsid w:val="007F03A4"/>
    <w:rsid w:val="007F1890"/>
    <w:rsid w:val="007F5109"/>
    <w:rsid w:val="007F7778"/>
    <w:rsid w:val="00802FEC"/>
    <w:rsid w:val="00813A8E"/>
    <w:rsid w:val="008221A5"/>
    <w:rsid w:val="00851E24"/>
    <w:rsid w:val="008720BC"/>
    <w:rsid w:val="008A281A"/>
    <w:rsid w:val="008A6A18"/>
    <w:rsid w:val="008C0D99"/>
    <w:rsid w:val="008D3193"/>
    <w:rsid w:val="008D57C4"/>
    <w:rsid w:val="008F0374"/>
    <w:rsid w:val="0090526E"/>
    <w:rsid w:val="00911213"/>
    <w:rsid w:val="009119DF"/>
    <w:rsid w:val="0093156C"/>
    <w:rsid w:val="009353CE"/>
    <w:rsid w:val="009511BC"/>
    <w:rsid w:val="00971597"/>
    <w:rsid w:val="0098287F"/>
    <w:rsid w:val="009A166A"/>
    <w:rsid w:val="009C1DB5"/>
    <w:rsid w:val="009F7F41"/>
    <w:rsid w:val="00A013EB"/>
    <w:rsid w:val="00A25FFB"/>
    <w:rsid w:val="00A663BC"/>
    <w:rsid w:val="00A756DB"/>
    <w:rsid w:val="00A82C61"/>
    <w:rsid w:val="00A93B02"/>
    <w:rsid w:val="00AA0560"/>
    <w:rsid w:val="00AA431E"/>
    <w:rsid w:val="00AA74B3"/>
    <w:rsid w:val="00AA7D0D"/>
    <w:rsid w:val="00AB4D04"/>
    <w:rsid w:val="00AB664A"/>
    <w:rsid w:val="00AD538D"/>
    <w:rsid w:val="00AD6631"/>
    <w:rsid w:val="00AF23CD"/>
    <w:rsid w:val="00AF6988"/>
    <w:rsid w:val="00B22C48"/>
    <w:rsid w:val="00B47353"/>
    <w:rsid w:val="00B83667"/>
    <w:rsid w:val="00B91003"/>
    <w:rsid w:val="00BA59F3"/>
    <w:rsid w:val="00BC115A"/>
    <w:rsid w:val="00BD2FAD"/>
    <w:rsid w:val="00BE4EB2"/>
    <w:rsid w:val="00BE69DB"/>
    <w:rsid w:val="00BF2647"/>
    <w:rsid w:val="00BF7784"/>
    <w:rsid w:val="00C02481"/>
    <w:rsid w:val="00C061F2"/>
    <w:rsid w:val="00C0776E"/>
    <w:rsid w:val="00C1323B"/>
    <w:rsid w:val="00C16226"/>
    <w:rsid w:val="00C2382E"/>
    <w:rsid w:val="00C33404"/>
    <w:rsid w:val="00C42F19"/>
    <w:rsid w:val="00C43E1A"/>
    <w:rsid w:val="00C507A5"/>
    <w:rsid w:val="00C514BA"/>
    <w:rsid w:val="00C51948"/>
    <w:rsid w:val="00C51C4A"/>
    <w:rsid w:val="00C53ECD"/>
    <w:rsid w:val="00C541D6"/>
    <w:rsid w:val="00C7148E"/>
    <w:rsid w:val="00C85F52"/>
    <w:rsid w:val="00CA6366"/>
    <w:rsid w:val="00CB7C31"/>
    <w:rsid w:val="00CE1E59"/>
    <w:rsid w:val="00D0139D"/>
    <w:rsid w:val="00D02F66"/>
    <w:rsid w:val="00D07E90"/>
    <w:rsid w:val="00D101DD"/>
    <w:rsid w:val="00D149BA"/>
    <w:rsid w:val="00D20542"/>
    <w:rsid w:val="00D23641"/>
    <w:rsid w:val="00D247BD"/>
    <w:rsid w:val="00D26DDD"/>
    <w:rsid w:val="00D319B4"/>
    <w:rsid w:val="00D3473C"/>
    <w:rsid w:val="00D42A6E"/>
    <w:rsid w:val="00D54E8B"/>
    <w:rsid w:val="00D628FD"/>
    <w:rsid w:val="00D749D7"/>
    <w:rsid w:val="00D921FC"/>
    <w:rsid w:val="00D9312C"/>
    <w:rsid w:val="00DB72C6"/>
    <w:rsid w:val="00DC3881"/>
    <w:rsid w:val="00DF0F7A"/>
    <w:rsid w:val="00E113D0"/>
    <w:rsid w:val="00E21ACA"/>
    <w:rsid w:val="00E2377A"/>
    <w:rsid w:val="00E401B2"/>
    <w:rsid w:val="00E57DE1"/>
    <w:rsid w:val="00E66F06"/>
    <w:rsid w:val="00E677FC"/>
    <w:rsid w:val="00E82673"/>
    <w:rsid w:val="00E84279"/>
    <w:rsid w:val="00E851A6"/>
    <w:rsid w:val="00E909C9"/>
    <w:rsid w:val="00E9308E"/>
    <w:rsid w:val="00E93AEA"/>
    <w:rsid w:val="00EB7C75"/>
    <w:rsid w:val="00EF0F0F"/>
    <w:rsid w:val="00EF1C80"/>
    <w:rsid w:val="00EF20F6"/>
    <w:rsid w:val="00EF3BF7"/>
    <w:rsid w:val="00EF761C"/>
    <w:rsid w:val="00F058A5"/>
    <w:rsid w:val="00F0595D"/>
    <w:rsid w:val="00F2519D"/>
    <w:rsid w:val="00F670C7"/>
    <w:rsid w:val="00F67E89"/>
    <w:rsid w:val="00F72A05"/>
    <w:rsid w:val="00F73603"/>
    <w:rsid w:val="00F73A7A"/>
    <w:rsid w:val="00FA415D"/>
    <w:rsid w:val="00FC179A"/>
    <w:rsid w:val="00FE77F1"/>
    <w:rsid w:val="00FF3EF0"/>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A7A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90"/>
    <w:pPr>
      <w:spacing w:after="200" w:line="276"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E90"/>
    <w:pPr>
      <w:spacing w:after="0" w:line="240" w:lineRule="auto"/>
      <w:ind w:left="720"/>
      <w:contextualSpacing/>
    </w:pPr>
    <w:rPr>
      <w:rFonts w:asciiTheme="minorHAnsi" w:eastAsiaTheme="minorEastAsia" w:hAnsiTheme="minorHAnsi" w:cstheme="minorBidi"/>
      <w:sz w:val="24"/>
      <w:szCs w:val="24"/>
    </w:rPr>
  </w:style>
  <w:style w:type="paragraph" w:customStyle="1" w:styleId="Normal1">
    <w:name w:val="Normal1"/>
    <w:uiPriority w:val="99"/>
    <w:rsid w:val="00D07E90"/>
    <w:pPr>
      <w:ind w:firstLine="360"/>
    </w:pPr>
    <w:rPr>
      <w:rFonts w:ascii="Calibri" w:eastAsia="SimSun" w:hAnsi="Calibri" w:cs="Calibri"/>
      <w:color w:val="000000"/>
      <w:sz w:val="22"/>
      <w:lang w:eastAsia="ja-JP"/>
    </w:rPr>
  </w:style>
  <w:style w:type="paragraph" w:styleId="BalloonText">
    <w:name w:val="Balloon Text"/>
    <w:basedOn w:val="Normal"/>
    <w:link w:val="BalloonTextChar"/>
    <w:uiPriority w:val="99"/>
    <w:semiHidden/>
    <w:unhideWhenUsed/>
    <w:rsid w:val="00D07E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E90"/>
    <w:rPr>
      <w:rFonts w:ascii="Lucida Grande" w:eastAsia="Calibri" w:hAnsi="Lucida Grande" w:cs="Lucida Grande"/>
      <w:sz w:val="18"/>
      <w:szCs w:val="18"/>
    </w:rPr>
  </w:style>
  <w:style w:type="character" w:styleId="Hyperlink">
    <w:name w:val="Hyperlink"/>
    <w:basedOn w:val="DefaultParagraphFont"/>
    <w:uiPriority w:val="99"/>
    <w:unhideWhenUsed/>
    <w:rsid w:val="00F2519D"/>
    <w:rPr>
      <w:color w:val="0000FF" w:themeColor="hyperlink"/>
      <w:u w:val="single"/>
    </w:rPr>
  </w:style>
  <w:style w:type="character" w:styleId="CommentReference">
    <w:name w:val="annotation reference"/>
    <w:basedOn w:val="DefaultParagraphFont"/>
    <w:uiPriority w:val="99"/>
    <w:semiHidden/>
    <w:unhideWhenUsed/>
    <w:rsid w:val="00431586"/>
    <w:rPr>
      <w:sz w:val="18"/>
      <w:szCs w:val="18"/>
    </w:rPr>
  </w:style>
  <w:style w:type="paragraph" w:styleId="CommentText">
    <w:name w:val="annotation text"/>
    <w:basedOn w:val="Normal"/>
    <w:link w:val="CommentTextChar"/>
    <w:uiPriority w:val="99"/>
    <w:semiHidden/>
    <w:unhideWhenUsed/>
    <w:rsid w:val="00431586"/>
    <w:pPr>
      <w:spacing w:line="240" w:lineRule="auto"/>
    </w:pPr>
    <w:rPr>
      <w:sz w:val="24"/>
      <w:szCs w:val="24"/>
    </w:rPr>
  </w:style>
  <w:style w:type="character" w:customStyle="1" w:styleId="CommentTextChar">
    <w:name w:val="Comment Text Char"/>
    <w:basedOn w:val="DefaultParagraphFont"/>
    <w:link w:val="CommentText"/>
    <w:uiPriority w:val="99"/>
    <w:semiHidden/>
    <w:rsid w:val="00431586"/>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431586"/>
    <w:rPr>
      <w:b/>
      <w:bCs/>
      <w:sz w:val="20"/>
      <w:szCs w:val="20"/>
    </w:rPr>
  </w:style>
  <w:style w:type="character" w:customStyle="1" w:styleId="CommentSubjectChar">
    <w:name w:val="Comment Subject Char"/>
    <w:basedOn w:val="CommentTextChar"/>
    <w:link w:val="CommentSubject"/>
    <w:uiPriority w:val="99"/>
    <w:semiHidden/>
    <w:rsid w:val="00431586"/>
    <w:rPr>
      <w:rFonts w:ascii="Calibri" w:eastAsia="Calibri" w:hAnsi="Calibri" w:cs="Arial"/>
      <w:b/>
      <w:bCs/>
      <w:sz w:val="20"/>
      <w:szCs w:val="20"/>
    </w:rPr>
  </w:style>
  <w:style w:type="character" w:styleId="FollowedHyperlink">
    <w:name w:val="FollowedHyperlink"/>
    <w:basedOn w:val="DefaultParagraphFont"/>
    <w:uiPriority w:val="99"/>
    <w:semiHidden/>
    <w:unhideWhenUsed/>
    <w:rsid w:val="00E84279"/>
    <w:rPr>
      <w:color w:val="800080" w:themeColor="followedHyperlink"/>
      <w:u w:val="single"/>
    </w:rPr>
  </w:style>
  <w:style w:type="paragraph" w:styleId="NormalWeb">
    <w:name w:val="Normal (Web)"/>
    <w:basedOn w:val="Normal"/>
    <w:uiPriority w:val="99"/>
    <w:rsid w:val="00FF70AB"/>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E23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E4EB2"/>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90"/>
    <w:pPr>
      <w:spacing w:after="200" w:line="276"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E90"/>
    <w:pPr>
      <w:spacing w:after="0" w:line="240" w:lineRule="auto"/>
      <w:ind w:left="720"/>
      <w:contextualSpacing/>
    </w:pPr>
    <w:rPr>
      <w:rFonts w:asciiTheme="minorHAnsi" w:eastAsiaTheme="minorEastAsia" w:hAnsiTheme="minorHAnsi" w:cstheme="minorBidi"/>
      <w:sz w:val="24"/>
      <w:szCs w:val="24"/>
    </w:rPr>
  </w:style>
  <w:style w:type="paragraph" w:customStyle="1" w:styleId="Normal1">
    <w:name w:val="Normal1"/>
    <w:uiPriority w:val="99"/>
    <w:rsid w:val="00D07E90"/>
    <w:pPr>
      <w:ind w:firstLine="360"/>
    </w:pPr>
    <w:rPr>
      <w:rFonts w:ascii="Calibri" w:eastAsia="SimSun" w:hAnsi="Calibri" w:cs="Calibri"/>
      <w:color w:val="000000"/>
      <w:sz w:val="22"/>
      <w:lang w:eastAsia="ja-JP"/>
    </w:rPr>
  </w:style>
  <w:style w:type="paragraph" w:styleId="BalloonText">
    <w:name w:val="Balloon Text"/>
    <w:basedOn w:val="Normal"/>
    <w:link w:val="BalloonTextChar"/>
    <w:uiPriority w:val="99"/>
    <w:semiHidden/>
    <w:unhideWhenUsed/>
    <w:rsid w:val="00D07E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E90"/>
    <w:rPr>
      <w:rFonts w:ascii="Lucida Grande" w:eastAsia="Calibri" w:hAnsi="Lucida Grande" w:cs="Lucida Grande"/>
      <w:sz w:val="18"/>
      <w:szCs w:val="18"/>
    </w:rPr>
  </w:style>
  <w:style w:type="character" w:styleId="Hyperlink">
    <w:name w:val="Hyperlink"/>
    <w:basedOn w:val="DefaultParagraphFont"/>
    <w:uiPriority w:val="99"/>
    <w:unhideWhenUsed/>
    <w:rsid w:val="00F2519D"/>
    <w:rPr>
      <w:color w:val="0000FF" w:themeColor="hyperlink"/>
      <w:u w:val="single"/>
    </w:rPr>
  </w:style>
  <w:style w:type="character" w:styleId="CommentReference">
    <w:name w:val="annotation reference"/>
    <w:basedOn w:val="DefaultParagraphFont"/>
    <w:uiPriority w:val="99"/>
    <w:semiHidden/>
    <w:unhideWhenUsed/>
    <w:rsid w:val="00431586"/>
    <w:rPr>
      <w:sz w:val="18"/>
      <w:szCs w:val="18"/>
    </w:rPr>
  </w:style>
  <w:style w:type="paragraph" w:styleId="CommentText">
    <w:name w:val="annotation text"/>
    <w:basedOn w:val="Normal"/>
    <w:link w:val="CommentTextChar"/>
    <w:uiPriority w:val="99"/>
    <w:semiHidden/>
    <w:unhideWhenUsed/>
    <w:rsid w:val="00431586"/>
    <w:pPr>
      <w:spacing w:line="240" w:lineRule="auto"/>
    </w:pPr>
    <w:rPr>
      <w:sz w:val="24"/>
      <w:szCs w:val="24"/>
    </w:rPr>
  </w:style>
  <w:style w:type="character" w:customStyle="1" w:styleId="CommentTextChar">
    <w:name w:val="Comment Text Char"/>
    <w:basedOn w:val="DefaultParagraphFont"/>
    <w:link w:val="CommentText"/>
    <w:uiPriority w:val="99"/>
    <w:semiHidden/>
    <w:rsid w:val="00431586"/>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431586"/>
    <w:rPr>
      <w:b/>
      <w:bCs/>
      <w:sz w:val="20"/>
      <w:szCs w:val="20"/>
    </w:rPr>
  </w:style>
  <w:style w:type="character" w:customStyle="1" w:styleId="CommentSubjectChar">
    <w:name w:val="Comment Subject Char"/>
    <w:basedOn w:val="CommentTextChar"/>
    <w:link w:val="CommentSubject"/>
    <w:uiPriority w:val="99"/>
    <w:semiHidden/>
    <w:rsid w:val="00431586"/>
    <w:rPr>
      <w:rFonts w:ascii="Calibri" w:eastAsia="Calibri" w:hAnsi="Calibri" w:cs="Arial"/>
      <w:b/>
      <w:bCs/>
      <w:sz w:val="20"/>
      <w:szCs w:val="20"/>
    </w:rPr>
  </w:style>
  <w:style w:type="character" w:styleId="FollowedHyperlink">
    <w:name w:val="FollowedHyperlink"/>
    <w:basedOn w:val="DefaultParagraphFont"/>
    <w:uiPriority w:val="99"/>
    <w:semiHidden/>
    <w:unhideWhenUsed/>
    <w:rsid w:val="00E84279"/>
    <w:rPr>
      <w:color w:val="800080" w:themeColor="followedHyperlink"/>
      <w:u w:val="single"/>
    </w:rPr>
  </w:style>
  <w:style w:type="paragraph" w:styleId="NormalWeb">
    <w:name w:val="Normal (Web)"/>
    <w:basedOn w:val="Normal"/>
    <w:uiPriority w:val="99"/>
    <w:rsid w:val="00FF70AB"/>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E23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E4EB2"/>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737997">
      <w:bodyDiv w:val="1"/>
      <w:marLeft w:val="0"/>
      <w:marRight w:val="0"/>
      <w:marTop w:val="0"/>
      <w:marBottom w:val="0"/>
      <w:divBdr>
        <w:top w:val="none" w:sz="0" w:space="0" w:color="auto"/>
        <w:left w:val="none" w:sz="0" w:space="0" w:color="auto"/>
        <w:bottom w:val="none" w:sz="0" w:space="0" w:color="auto"/>
        <w:right w:val="none" w:sz="0" w:space="0" w:color="auto"/>
      </w:divBdr>
      <w:divsChild>
        <w:div w:id="814376913">
          <w:marLeft w:val="0"/>
          <w:marRight w:val="0"/>
          <w:marTop w:val="0"/>
          <w:marBottom w:val="0"/>
          <w:divBdr>
            <w:top w:val="none" w:sz="0" w:space="0" w:color="auto"/>
            <w:left w:val="none" w:sz="0" w:space="0" w:color="auto"/>
            <w:bottom w:val="none" w:sz="0" w:space="0" w:color="auto"/>
            <w:right w:val="none" w:sz="0" w:space="0" w:color="auto"/>
          </w:divBdr>
          <w:divsChild>
            <w:div w:id="1443920392">
              <w:marLeft w:val="0"/>
              <w:marRight w:val="0"/>
              <w:marTop w:val="0"/>
              <w:marBottom w:val="0"/>
              <w:divBdr>
                <w:top w:val="none" w:sz="0" w:space="0" w:color="auto"/>
                <w:left w:val="none" w:sz="0" w:space="0" w:color="auto"/>
                <w:bottom w:val="none" w:sz="0" w:space="0" w:color="auto"/>
                <w:right w:val="none" w:sz="0" w:space="0" w:color="auto"/>
              </w:divBdr>
              <w:divsChild>
                <w:div w:id="405881496">
                  <w:marLeft w:val="0"/>
                  <w:marRight w:val="0"/>
                  <w:marTop w:val="0"/>
                  <w:marBottom w:val="0"/>
                  <w:divBdr>
                    <w:top w:val="none" w:sz="0" w:space="0" w:color="auto"/>
                    <w:left w:val="none" w:sz="0" w:space="0" w:color="auto"/>
                    <w:bottom w:val="none" w:sz="0" w:space="0" w:color="auto"/>
                    <w:right w:val="none" w:sz="0" w:space="0" w:color="auto"/>
                  </w:divBdr>
                  <w:divsChild>
                    <w:div w:id="873882912">
                      <w:marLeft w:val="0"/>
                      <w:marRight w:val="0"/>
                      <w:marTop w:val="0"/>
                      <w:marBottom w:val="0"/>
                      <w:divBdr>
                        <w:top w:val="none" w:sz="0" w:space="0" w:color="auto"/>
                        <w:left w:val="none" w:sz="0" w:space="0" w:color="auto"/>
                        <w:bottom w:val="none" w:sz="0" w:space="0" w:color="auto"/>
                        <w:right w:val="none" w:sz="0" w:space="0" w:color="auto"/>
                      </w:divBdr>
                      <w:divsChild>
                        <w:div w:id="1180243684">
                          <w:marLeft w:val="0"/>
                          <w:marRight w:val="0"/>
                          <w:marTop w:val="45"/>
                          <w:marBottom w:val="0"/>
                          <w:divBdr>
                            <w:top w:val="none" w:sz="0" w:space="0" w:color="auto"/>
                            <w:left w:val="none" w:sz="0" w:space="0" w:color="auto"/>
                            <w:bottom w:val="none" w:sz="0" w:space="0" w:color="auto"/>
                            <w:right w:val="none" w:sz="0" w:space="0" w:color="auto"/>
                          </w:divBdr>
                          <w:divsChild>
                            <w:div w:id="1062286541">
                              <w:marLeft w:val="0"/>
                              <w:marRight w:val="0"/>
                              <w:marTop w:val="0"/>
                              <w:marBottom w:val="0"/>
                              <w:divBdr>
                                <w:top w:val="none" w:sz="0" w:space="0" w:color="auto"/>
                                <w:left w:val="none" w:sz="0" w:space="0" w:color="auto"/>
                                <w:bottom w:val="none" w:sz="0" w:space="0" w:color="auto"/>
                                <w:right w:val="none" w:sz="0" w:space="0" w:color="auto"/>
                              </w:divBdr>
                              <w:divsChild>
                                <w:div w:id="1487935938">
                                  <w:marLeft w:val="2070"/>
                                  <w:marRight w:val="3810"/>
                                  <w:marTop w:val="0"/>
                                  <w:marBottom w:val="0"/>
                                  <w:divBdr>
                                    <w:top w:val="none" w:sz="0" w:space="0" w:color="auto"/>
                                    <w:left w:val="none" w:sz="0" w:space="0" w:color="auto"/>
                                    <w:bottom w:val="none" w:sz="0" w:space="0" w:color="auto"/>
                                    <w:right w:val="none" w:sz="0" w:space="0" w:color="auto"/>
                                  </w:divBdr>
                                  <w:divsChild>
                                    <w:div w:id="1741950420">
                                      <w:marLeft w:val="0"/>
                                      <w:marRight w:val="0"/>
                                      <w:marTop w:val="0"/>
                                      <w:marBottom w:val="0"/>
                                      <w:divBdr>
                                        <w:top w:val="none" w:sz="0" w:space="0" w:color="auto"/>
                                        <w:left w:val="none" w:sz="0" w:space="0" w:color="auto"/>
                                        <w:bottom w:val="none" w:sz="0" w:space="0" w:color="auto"/>
                                        <w:right w:val="none" w:sz="0" w:space="0" w:color="auto"/>
                                      </w:divBdr>
                                      <w:divsChild>
                                        <w:div w:id="1432966746">
                                          <w:marLeft w:val="0"/>
                                          <w:marRight w:val="0"/>
                                          <w:marTop w:val="0"/>
                                          <w:marBottom w:val="0"/>
                                          <w:divBdr>
                                            <w:top w:val="none" w:sz="0" w:space="0" w:color="auto"/>
                                            <w:left w:val="none" w:sz="0" w:space="0" w:color="auto"/>
                                            <w:bottom w:val="none" w:sz="0" w:space="0" w:color="auto"/>
                                            <w:right w:val="none" w:sz="0" w:space="0" w:color="auto"/>
                                          </w:divBdr>
                                          <w:divsChild>
                                            <w:div w:id="10205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2989">
                                      <w:marLeft w:val="0"/>
                                      <w:marRight w:val="0"/>
                                      <w:marTop w:val="0"/>
                                      <w:marBottom w:val="0"/>
                                      <w:divBdr>
                                        <w:top w:val="none" w:sz="0" w:space="0" w:color="auto"/>
                                        <w:left w:val="none" w:sz="0" w:space="0" w:color="auto"/>
                                        <w:bottom w:val="none" w:sz="0" w:space="0" w:color="auto"/>
                                        <w:right w:val="none" w:sz="0" w:space="0" w:color="auto"/>
                                      </w:divBdr>
                                      <w:divsChild>
                                        <w:div w:id="1040856437">
                                          <w:marLeft w:val="0"/>
                                          <w:marRight w:val="0"/>
                                          <w:marTop w:val="0"/>
                                          <w:marBottom w:val="0"/>
                                          <w:divBdr>
                                            <w:top w:val="none" w:sz="0" w:space="0" w:color="auto"/>
                                            <w:left w:val="none" w:sz="0" w:space="0" w:color="auto"/>
                                            <w:bottom w:val="none" w:sz="0" w:space="0" w:color="auto"/>
                                            <w:right w:val="none" w:sz="0" w:space="0" w:color="auto"/>
                                          </w:divBdr>
                                          <w:divsChild>
                                            <w:div w:id="458836291">
                                              <w:marLeft w:val="0"/>
                                              <w:marRight w:val="0"/>
                                              <w:marTop w:val="90"/>
                                              <w:marBottom w:val="0"/>
                                              <w:divBdr>
                                                <w:top w:val="none" w:sz="0" w:space="0" w:color="auto"/>
                                                <w:left w:val="none" w:sz="0" w:space="0" w:color="auto"/>
                                                <w:bottom w:val="none" w:sz="0" w:space="0" w:color="auto"/>
                                                <w:right w:val="none" w:sz="0" w:space="0" w:color="auto"/>
                                              </w:divBdr>
                                              <w:divsChild>
                                                <w:div w:id="1676179585">
                                                  <w:marLeft w:val="0"/>
                                                  <w:marRight w:val="0"/>
                                                  <w:marTop w:val="0"/>
                                                  <w:marBottom w:val="0"/>
                                                  <w:divBdr>
                                                    <w:top w:val="none" w:sz="0" w:space="0" w:color="auto"/>
                                                    <w:left w:val="none" w:sz="0" w:space="0" w:color="auto"/>
                                                    <w:bottom w:val="none" w:sz="0" w:space="0" w:color="auto"/>
                                                    <w:right w:val="none" w:sz="0" w:space="0" w:color="auto"/>
                                                  </w:divBdr>
                                                  <w:divsChild>
                                                    <w:div w:id="37314796">
                                                      <w:marLeft w:val="0"/>
                                                      <w:marRight w:val="0"/>
                                                      <w:marTop w:val="0"/>
                                                      <w:marBottom w:val="0"/>
                                                      <w:divBdr>
                                                        <w:top w:val="none" w:sz="0" w:space="0" w:color="auto"/>
                                                        <w:left w:val="none" w:sz="0" w:space="0" w:color="auto"/>
                                                        <w:bottom w:val="none" w:sz="0" w:space="0" w:color="auto"/>
                                                        <w:right w:val="none" w:sz="0" w:space="0" w:color="auto"/>
                                                      </w:divBdr>
                                                      <w:divsChild>
                                                        <w:div w:id="951128195">
                                                          <w:marLeft w:val="0"/>
                                                          <w:marRight w:val="0"/>
                                                          <w:marTop w:val="0"/>
                                                          <w:marBottom w:val="0"/>
                                                          <w:divBdr>
                                                            <w:top w:val="none" w:sz="0" w:space="0" w:color="auto"/>
                                                            <w:left w:val="none" w:sz="0" w:space="0" w:color="auto"/>
                                                            <w:bottom w:val="none" w:sz="0" w:space="0" w:color="auto"/>
                                                            <w:right w:val="none" w:sz="0" w:space="0" w:color="auto"/>
                                                          </w:divBdr>
                                                          <w:divsChild>
                                                            <w:div w:id="1466973253">
                                                              <w:marLeft w:val="0"/>
                                                              <w:marRight w:val="0"/>
                                                              <w:marTop w:val="0"/>
                                                              <w:marBottom w:val="390"/>
                                                              <w:divBdr>
                                                                <w:top w:val="none" w:sz="0" w:space="0" w:color="auto"/>
                                                                <w:left w:val="none" w:sz="0" w:space="0" w:color="auto"/>
                                                                <w:bottom w:val="none" w:sz="0" w:space="0" w:color="auto"/>
                                                                <w:right w:val="none" w:sz="0" w:space="0" w:color="auto"/>
                                                              </w:divBdr>
                                                              <w:divsChild>
                                                                <w:div w:id="1047534693">
                                                                  <w:marLeft w:val="0"/>
                                                                  <w:marRight w:val="0"/>
                                                                  <w:marTop w:val="0"/>
                                                                  <w:marBottom w:val="0"/>
                                                                  <w:divBdr>
                                                                    <w:top w:val="none" w:sz="0" w:space="0" w:color="auto"/>
                                                                    <w:left w:val="none" w:sz="0" w:space="0" w:color="auto"/>
                                                                    <w:bottom w:val="none" w:sz="0" w:space="0" w:color="auto"/>
                                                                    <w:right w:val="none" w:sz="0" w:space="0" w:color="auto"/>
                                                                  </w:divBdr>
                                                                  <w:divsChild>
                                                                    <w:div w:id="2448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igh@hud.ac.uk" TargetMode="External"/><Relationship Id="rId13" Type="http://schemas.openxmlformats.org/officeDocument/2006/relationships/hyperlink" Target="http://www.hud.ac.uk/research/researchcentres/gdrc/latestnews/abstractsonensuringaccountabilityindisasterriskmanagement.php"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mailto:d.amaratunga@hud.ac.uk" TargetMode="External"/><Relationship Id="rId12" Type="http://schemas.openxmlformats.org/officeDocument/2006/relationships/hyperlink" Target="https://appliedvolc.springeropen.com/articles/10.1186/s13617-014-002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odi.org/sites/odi.org.uk/files/odi-assets/publications-opinion-files/9048.pdf" TargetMode="External"/><Relationship Id="rId5" Type="http://schemas.openxmlformats.org/officeDocument/2006/relationships/webSettings" Target="webSettings.xml"/><Relationship Id="rId15" Type="http://schemas.openxmlformats.org/officeDocument/2006/relationships/hyperlink" Target="http://eprints.hud.ac.uk/30329/" TargetMode="External"/><Relationship Id="rId10" Type="http://schemas.openxmlformats.org/officeDocument/2006/relationships/hyperlink" Target="http://www.undp.org/content/dam/undp/library/crisis%20prevention/disaster/Strengthening%20Disaster%20Risk%20Governance-Full-Report.pdf" TargetMode="External"/><Relationship Id="rId4" Type="http://schemas.openxmlformats.org/officeDocument/2006/relationships/settings" Target="settings.xml"/><Relationship Id="rId9" Type="http://schemas.openxmlformats.org/officeDocument/2006/relationships/hyperlink" Target="https://ex-gwweb.jica.go.jp/f5-w-687474703a2f2f7777772e756e64702e6f7267$$/content/dam/undp/library/crisis%20prevention/disaster/Issue_brief_disaster_risk_reduction_governance_11012013.pdf" TargetMode="External"/><Relationship Id="rId14" Type="http://schemas.openxmlformats.org/officeDocument/2006/relationships/hyperlink" Target="http://www.hud.ac.uk/research/researchcentres/gdrc/latestnews/briefingpaperondisastersandaccountabili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8363</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MacFanatics</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Velasquez</dc:creator>
  <cp:lastModifiedBy>User</cp:lastModifiedBy>
  <cp:revision>3</cp:revision>
  <dcterms:created xsi:type="dcterms:W3CDTF">2017-05-20T11:10:00Z</dcterms:created>
  <dcterms:modified xsi:type="dcterms:W3CDTF">2017-05-24T14:26:00Z</dcterms:modified>
</cp:coreProperties>
</file>