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F8" w:rsidRPr="004924F8" w:rsidRDefault="004924F8" w:rsidP="00492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:rsidR="004924F8" w:rsidRPr="004924F8" w:rsidRDefault="004924F8" w:rsidP="004924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20"/>
          <w:lang w:eastAsia="en-GB"/>
        </w:rPr>
      </w:pPr>
      <w:r w:rsidRPr="004924F8">
        <w:rPr>
          <w:rFonts w:ascii="Arial" w:eastAsia="Times New Roman" w:hAnsi="Arial" w:cs="Arial"/>
          <w:vanish/>
          <w:sz w:val="16"/>
          <w:szCs w:val="20"/>
          <w:lang w:eastAsia="en-GB"/>
        </w:rPr>
        <w:t>Top of Form</w:t>
      </w:r>
    </w:p>
    <w:tbl>
      <w:tblPr>
        <w:tblpPr w:leftFromText="180" w:rightFromText="180" w:vertAnchor="text" w:tblpY="1"/>
        <w:tblOverlap w:val="never"/>
        <w:tblW w:w="4522" w:type="pct"/>
        <w:tblCellSpacing w:w="7" w:type="dxa"/>
        <w:tblInd w:w="590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74"/>
      </w:tblGrid>
      <w:tr w:rsidR="004924F8" w:rsidRPr="004924F8" w:rsidTr="00114DA9">
        <w:trPr>
          <w:trHeight w:val="617"/>
          <w:tblCellSpacing w:w="7" w:type="dxa"/>
        </w:trPr>
        <w:tc>
          <w:tcPr>
            <w:tcW w:w="4987" w:type="pct"/>
            <w:shd w:val="clear" w:color="auto" w:fill="FFFFFF"/>
            <w:vAlign w:val="center"/>
            <w:hideMark/>
          </w:tcPr>
          <w:tbl>
            <w:tblPr>
              <w:tblW w:w="4749" w:type="pct"/>
              <w:jc w:val="center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84"/>
              <w:gridCol w:w="4985"/>
            </w:tblGrid>
            <w:tr w:rsidR="004924F8" w:rsidRPr="004924F8" w:rsidTr="00114DA9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924F8" w:rsidRPr="004924F8" w:rsidRDefault="004924F8" w:rsidP="00D8087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387" w:type="pct"/>
                  <w:vMerge w:val="restart"/>
                  <w:vAlign w:val="center"/>
                  <w:hideMark/>
                </w:tcPr>
                <w:p w:rsidR="004F31D6" w:rsidRPr="00114DA9" w:rsidRDefault="004924F8" w:rsidP="00114DA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114D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Background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114DA9">
                    <w:rPr>
                      <w:rFonts w:ascii="MS Gothic" w:eastAsia="MS Gothic" w:hAnsi="MS Gothic" w:cs="MS Gothic"/>
                      <w:color w:val="000000"/>
                      <w:sz w:val="24"/>
                      <w:szCs w:val="24"/>
                      <w:lang w:eastAsia="en-GB"/>
                    </w:rPr>
                    <w:t xml:space="preserve">　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Mexico and Japan have used their EEWS for several years. Institute of Care-life has built </w:t>
                  </w:r>
                  <w:r w:rsidR="004F31D6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 prototype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EEWS covering 400,000 square </w:t>
                  </w:r>
                  <w:r w:rsidR="004F31D6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kilometres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in China. Since June 7th, 2011, over 1000 earthquakes, with some be</w:t>
                  </w:r>
                  <w:r w:rsidR="004F31D6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ing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destructive </w:t>
                  </w:r>
                  <w:proofErr w:type="gramStart"/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quakes,</w:t>
                  </w:r>
                  <w:proofErr w:type="gramEnd"/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have triggered the EEWS</w:t>
                  </w:r>
                  <w:r w:rsidR="0008761A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offering real time early warning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. And </w:t>
                  </w:r>
                  <w:r w:rsidR="004F31D6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now 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China is planning </w:t>
                  </w:r>
                  <w:r w:rsidR="00884B4B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to </w:t>
                  </w:r>
                  <w:r w:rsidR="004F31D6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extend </w:t>
                  </w:r>
                  <w:r w:rsidR="0008761A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its dynamic</w:t>
                  </w:r>
                  <w:r w:rsidR="004F31D6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network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884B4B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creating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its </w:t>
                  </w:r>
                  <w:r w:rsidR="0008761A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first comprehensive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4F31D6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National 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EEW</w:t>
                  </w:r>
                  <w:r w:rsidR="004F31D6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884B4B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with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in the next few years.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114DA9">
                    <w:rPr>
                      <w:rFonts w:ascii="MS Gothic" w:eastAsia="MS Gothic" w:hAnsi="MS Gothic" w:cs="MS Gothic"/>
                      <w:color w:val="000000"/>
                      <w:sz w:val="24"/>
                      <w:szCs w:val="24"/>
                      <w:lang w:eastAsia="en-GB"/>
                    </w:rPr>
                    <w:t xml:space="preserve">　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Several countries, including USA, Indonesia, Mongolia, Turkey, </w:t>
                  </w:r>
                  <w:r w:rsidR="004F31D6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already experiment </w:t>
                  </w:r>
                  <w:r w:rsidR="00884B4B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and develop 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their own </w:t>
                  </w:r>
                  <w:r w:rsidR="0008761A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specific</w:t>
                  </w:r>
                  <w:r w:rsidR="004F31D6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08761A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regional </w:t>
                  </w:r>
                  <w:r w:rsidR="004F31D6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seismic early warning networks.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114DA9">
                    <w:rPr>
                      <w:rFonts w:ascii="MS Gothic" w:eastAsia="MS Gothic" w:hAnsi="MS Gothic" w:cs="MS Gothic"/>
                      <w:color w:val="000000"/>
                      <w:sz w:val="24"/>
                      <w:szCs w:val="24"/>
                      <w:lang w:eastAsia="en-GB"/>
                    </w:rPr>
                    <w:t xml:space="preserve">　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Since </w:t>
                  </w:r>
                  <w:r w:rsidR="004F31D6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Early Warning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involves</w:t>
                  </w:r>
                  <w:r w:rsidR="004F31D6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,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technology, administration</w:t>
                  </w:r>
                  <w:r w:rsidR="004F31D6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,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law</w:t>
                  </w:r>
                  <w:r w:rsidR="004F31D6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and social science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, it is complicated </w:t>
                  </w:r>
                  <w:r w:rsidR="004F31D6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and </w:t>
                  </w:r>
                  <w:r w:rsidR="0008761A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therefore </w:t>
                  </w:r>
                  <w:r w:rsidR="004F31D6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requires a 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systematic </w:t>
                  </w:r>
                  <w:r w:rsidR="004F31D6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approach, needing continuous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4F31D6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collaborative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R &amp; D</w:t>
                  </w:r>
                  <w:r w:rsidR="0008761A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on all fronts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. </w:t>
                  </w:r>
                  <w:r w:rsidR="00884B4B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Early Warning systems need robust and dynamic communications, integration with media and strong relationship with developing reliable prediction science. </w:t>
                  </w:r>
                </w:p>
                <w:p w:rsidR="004924F8" w:rsidRPr="004924F8" w:rsidRDefault="004F31D6" w:rsidP="00114DA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Consequently we welcome </w:t>
                  </w:r>
                  <w:r w:rsidR="00884B4B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and encourage 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e</w:t>
                  </w:r>
                  <w:r w:rsidR="004924F8"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xperts working on the </w:t>
                  </w:r>
                  <w:r w:rsidR="0008761A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seismic 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R&amp;D </w:t>
                  </w:r>
                  <w:r w:rsidR="004924F8"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technology, emergency</w:t>
                  </w:r>
                  <w:r w:rsidR="0008761A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response </w:t>
                  </w:r>
                  <w:r w:rsidR="00114DA9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and coordination</w:t>
                  </w:r>
                  <w:r w:rsidR="004924F8"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management, administration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, legal frameworks and the social science of </w:t>
                  </w:r>
                  <w:r w:rsidR="00114DA9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the 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use of communications</w:t>
                  </w:r>
                  <w:r w:rsidR="00884B4B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and seismic prediction sciences</w:t>
                  </w:r>
                  <w:r w:rsidR="00114DA9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,</w:t>
                  </w:r>
                  <w:r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to </w:t>
                  </w:r>
                  <w:r w:rsidR="00884B4B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attend </w:t>
                  </w:r>
                  <w:r w:rsidR="00114DA9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&amp;</w:t>
                  </w:r>
                  <w:r w:rsidR="00884B4B" w:rsidRPr="00114D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contribute.</w:t>
                  </w:r>
                </w:p>
              </w:tc>
            </w:tr>
            <w:tr w:rsidR="004924F8" w:rsidRPr="004924F8" w:rsidTr="00114DA9">
              <w:trPr>
                <w:trHeight w:val="1945"/>
                <w:tblCellSpacing w:w="75" w:type="dxa"/>
                <w:jc w:val="center"/>
              </w:trPr>
              <w:tc>
                <w:tcPr>
                  <w:tcW w:w="2387" w:type="pct"/>
                  <w:vAlign w:val="center"/>
                  <w:hideMark/>
                </w:tcPr>
                <w:p w:rsidR="004924F8" w:rsidRPr="004924F8" w:rsidRDefault="004924F8" w:rsidP="00D8087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818005" cy="1189990"/>
                        <wp:effectExtent l="19050" t="0" r="0" b="0"/>
                        <wp:docPr id="1" name="Picture 1" descr="http://www.365icl.com/img/201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365icl.com/img/201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8005" cy="1189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24F8" w:rsidRPr="004924F8" w:rsidRDefault="004924F8" w:rsidP="00D8087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924F8" w:rsidRPr="004924F8" w:rsidTr="00114DA9">
              <w:trPr>
                <w:trHeight w:val="6104"/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99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58"/>
                  </w:tblGrid>
                  <w:tr w:rsidR="004924F8" w:rsidRPr="004924F8" w:rsidTr="00114DA9">
                    <w:trPr>
                      <w:trHeight w:val="2409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24F8" w:rsidRPr="004924F8" w:rsidRDefault="004924F8" w:rsidP="00D80871">
                        <w:pPr>
                          <w:framePr w:hSpace="180" w:wrap="around" w:vAnchor="text" w:hAnchor="text" w:y="1"/>
                          <w:spacing w:after="0" w:line="48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4924F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2013 International Conference on</w:t>
                        </w:r>
                        <w:r w:rsidRPr="004924F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  <w:t>Earthquake Early Warning System</w:t>
                        </w:r>
                        <w:r w:rsidRPr="004924F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4924F8">
                          <w:rPr>
                            <w:rFonts w:ascii="MS Gothic" w:eastAsia="MS Gothic" w:hAnsi="MS Gothic" w:cs="MS Gothic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【</w:t>
                        </w:r>
                        <w:r w:rsidRPr="004924F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To Memorialize the 5th Anniversary of </w:t>
                        </w:r>
                        <w:r w:rsidRPr="004924F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  <w:t xml:space="preserve">the 2008 </w:t>
                        </w:r>
                        <w:proofErr w:type="spellStart"/>
                        <w:r w:rsidRPr="004924F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Wenchuan</w:t>
                        </w:r>
                        <w:proofErr w:type="spellEnd"/>
                        <w:r w:rsidRPr="004924F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Earthquake</w:t>
                        </w:r>
                        <w:r w:rsidRPr="004924F8">
                          <w:rPr>
                            <w:rFonts w:ascii="MS Gothic" w:eastAsia="MS Gothic" w:hAnsi="MS Gothic" w:cs="MS Gothic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】</w:t>
                        </w:r>
                      </w:p>
                    </w:tc>
                  </w:tr>
                </w:tbl>
                <w:p w:rsidR="004924F8" w:rsidRPr="004924F8" w:rsidRDefault="004924F8" w:rsidP="00D8087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92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May 7-11, 2013 Chengdu, China</w:t>
                  </w:r>
                </w:p>
                <w:p w:rsidR="004924F8" w:rsidRPr="004924F8" w:rsidRDefault="004924F8" w:rsidP="00D8087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492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Organized by</w:t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  <w:t>Sichuan Bureau of Science and Technology Emergency Management Office of Sichuan Province Sichuan Institute of Administration</w:t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492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Hosted by</w:t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  <w:t>Institute of Care-life, China</w:t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  <w:t>Chengdu Earthquake Administration</w:t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492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Language</w:t>
                  </w:r>
                  <w:proofErr w:type="gramStart"/>
                  <w:r w:rsidRPr="00492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:English</w:t>
                  </w:r>
                  <w:proofErr w:type="spellEnd"/>
                  <w:proofErr w:type="gramEnd"/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492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Website</w:t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:www.365icl.com/2013EEWS. asp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24F8" w:rsidRPr="004924F8" w:rsidRDefault="004924F8" w:rsidP="00D8087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4924F8" w:rsidRPr="004924F8" w:rsidRDefault="004924F8" w:rsidP="00D80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4924F8" w:rsidRPr="004924F8" w:rsidTr="00114DA9">
        <w:trPr>
          <w:trHeight w:val="617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749" w:type="pct"/>
              <w:jc w:val="center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84"/>
              <w:gridCol w:w="4985"/>
            </w:tblGrid>
            <w:tr w:rsidR="004924F8" w:rsidRPr="004924F8" w:rsidTr="00114DA9">
              <w:trPr>
                <w:trHeight w:val="6069"/>
                <w:tblCellSpacing w:w="75" w:type="dxa"/>
                <w:jc w:val="center"/>
              </w:trPr>
              <w:tc>
                <w:tcPr>
                  <w:tcW w:w="2387" w:type="pct"/>
                  <w:vAlign w:val="center"/>
                  <w:hideMark/>
                </w:tcPr>
                <w:p w:rsidR="00A96732" w:rsidRDefault="004924F8" w:rsidP="00D8087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A967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Topics:</w:t>
                  </w:r>
                </w:p>
                <w:p w:rsidR="00A96732" w:rsidRPr="00A96732" w:rsidRDefault="004924F8" w:rsidP="00D80871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8"/>
                    </w:numPr>
                    <w:spacing w:after="0" w:line="240" w:lineRule="auto"/>
                    <w:ind w:left="360"/>
                    <w:suppressOverlap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EEW theory, technology and their improvements</w:t>
                  </w:r>
                  <w:r w:rsidR="00A96732"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and what is next</w:t>
                  </w:r>
                </w:p>
                <w:p w:rsidR="00A96732" w:rsidRDefault="00A96732" w:rsidP="00D8087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A96732" w:rsidRPr="00A96732" w:rsidRDefault="004924F8" w:rsidP="00D80871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8"/>
                    </w:numPr>
                    <w:spacing w:after="0" w:line="240" w:lineRule="auto"/>
                    <w:ind w:left="360"/>
                    <w:suppressOverlap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The technology</w:t>
                  </w:r>
                  <w:r w:rsid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of applying EEW to high </w:t>
                  </w:r>
                  <w:r w:rsidR="00884B4B"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speed </w:t>
                  </w: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rail</w:t>
                  </w:r>
                  <w:r w:rsidR="00A96732"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networks</w:t>
                  </w:r>
                </w:p>
                <w:p w:rsidR="00A96732" w:rsidRDefault="00A96732" w:rsidP="00D80871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8"/>
                    </w:numPr>
                    <w:spacing w:after="0" w:line="240" w:lineRule="auto"/>
                    <w:ind w:left="360"/>
                    <w:suppressOverlap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A96732" w:rsidRPr="00A96732" w:rsidRDefault="004924F8" w:rsidP="00D80871">
                  <w:pPr>
                    <w:pStyle w:val="ListParagraph"/>
                    <w:framePr w:hSpace="180" w:wrap="around" w:vAnchor="text" w:hAnchor="text" w:y="1"/>
                    <w:spacing w:after="0" w:line="240" w:lineRule="auto"/>
                    <w:ind w:left="360"/>
                    <w:suppressOverlap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The application of EEW in lifeline </w:t>
                  </w:r>
                  <w:r w:rsidR="00A96732"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and critical infrastructure projects</w:t>
                  </w:r>
                </w:p>
                <w:p w:rsidR="00A96732" w:rsidRDefault="00A96732" w:rsidP="00D80871">
                  <w:pPr>
                    <w:pStyle w:val="ListParagraph"/>
                    <w:framePr w:hSpace="180" w:wrap="around" w:vAnchor="text" w:hAnchor="text" w:y="1"/>
                    <w:spacing w:after="0" w:line="240" w:lineRule="auto"/>
                    <w:ind w:left="360"/>
                    <w:suppressOverlap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A96732" w:rsidRDefault="004924F8" w:rsidP="00D80871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8"/>
                    </w:numPr>
                    <w:spacing w:after="0" w:line="240" w:lineRule="auto"/>
                    <w:ind w:left="360"/>
                    <w:suppressOverlap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The application </w:t>
                  </w:r>
                  <w:r w:rsidR="00A96732"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of EEW within crowded place, </w:t>
                  </w: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especially in schools</w:t>
                  </w:r>
                  <w:r w:rsidR="00A96732"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and hospitals</w:t>
                  </w:r>
                  <w:r w:rsidR="00A96732"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</w:p>
                <w:p w:rsidR="00A96732" w:rsidRDefault="004924F8" w:rsidP="00D80871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8"/>
                    </w:numPr>
                    <w:spacing w:after="0" w:line="240" w:lineRule="auto"/>
                    <w:ind w:left="360"/>
                    <w:suppressOverlap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The standards and laws </w:t>
                  </w:r>
                  <w:r w:rsidR="00A96732"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and protocols necessary </w:t>
                  </w: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for </w:t>
                  </w:r>
                  <w:r w:rsidR="00A96732"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the </w:t>
                  </w:r>
                  <w:r w:rsid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application of EEW</w:t>
                  </w:r>
                </w:p>
                <w:p w:rsidR="00A96732" w:rsidRDefault="00A96732" w:rsidP="00D80871">
                  <w:pPr>
                    <w:pStyle w:val="ListParagraph"/>
                    <w:framePr w:hSpace="180" w:wrap="around" w:vAnchor="text" w:hAnchor="text" w:y="1"/>
                    <w:spacing w:after="0" w:line="240" w:lineRule="auto"/>
                    <w:ind w:left="360"/>
                    <w:suppressOverlap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4924F8" w:rsidRPr="00D80871" w:rsidRDefault="004924F8" w:rsidP="00D80871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8"/>
                    </w:numPr>
                    <w:spacing w:after="0" w:line="240" w:lineRule="auto"/>
                    <w:ind w:left="360"/>
                    <w:suppressOverlap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The opportunity a</w:t>
                  </w:r>
                  <w:r w:rsid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nd challenges of using EEW for </w:t>
                  </w: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governments, emergency departments,</w:t>
                  </w:r>
                  <w:r w:rsidR="00A96732"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security services, critical infrastructure, industry and</w:t>
                  </w: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established </w:t>
                  </w: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seismologi</w:t>
                  </w:r>
                  <w:r w:rsid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sts and predictive science</w:t>
                  </w:r>
                </w:p>
                <w:p w:rsidR="004924F8" w:rsidRPr="004924F8" w:rsidRDefault="004924F8" w:rsidP="00D8087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92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Scientific Committee</w:t>
                  </w:r>
                  <w:r w:rsidRPr="00492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492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ShaoxieXu</w:t>
                  </w:r>
                  <w:proofErr w:type="spellEnd"/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  <w:t>Member of Chinese Academy of Engineering</w:t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492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ChunchangShan</w:t>
                  </w:r>
                  <w:proofErr w:type="spellEnd"/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  <w:t>Director of Panel Committee of experts on emergency</w:t>
                  </w:r>
                  <w:r w:rsidR="0008761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management of the </w:t>
                  </w:r>
                  <w:proofErr w:type="spellStart"/>
                  <w:r w:rsidR="0008761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StateCouncil</w:t>
                  </w:r>
                  <w:proofErr w:type="spellEnd"/>
                  <w:r w:rsidR="0008761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of the People’s Republic of China</w:t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492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XiaojunLi</w:t>
                  </w:r>
                  <w:proofErr w:type="spellEnd"/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  <w:t>Vice-director of Institute of Geophysics,</w:t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  <w:t>China Earthquake Administration</w:t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492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TianchangChen</w:t>
                  </w:r>
                  <w:proofErr w:type="spellEnd"/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  <w:t>Professor of Sichuan Earthquake Administration</w:t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492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Tun Wang</w:t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  <w:t>Director of Institute of Care-life, China</w:t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492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Organizing Committee</w:t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492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Menglin</w:t>
                  </w:r>
                  <w:proofErr w:type="spellEnd"/>
                  <w:r w:rsidRPr="00492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 Zhou</w:t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  <w:t xml:space="preserve">Deputy director of Sichuan Bureau </w:t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  <w:t>of Science and Technology</w:t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492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Yaxi</w:t>
                  </w:r>
                  <w:proofErr w:type="spellEnd"/>
                  <w:r w:rsidRPr="00492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 Xiao</w:t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  <w:t>Director of Chengdu Earthquake Administration</w:t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492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Tun Wang</w:t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  <w:t>Director of Institute of Care-life, China</w:t>
                  </w:r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492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Wei </w:t>
                  </w:r>
                  <w:proofErr w:type="spellStart"/>
                  <w:r w:rsidRPr="00492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Guo</w:t>
                  </w:r>
                  <w:proofErr w:type="spellEnd"/>
                  <w:r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  <w:t xml:space="preserve">Professor of Sichuan Institute of Administration </w:t>
                  </w:r>
                </w:p>
              </w:tc>
              <w:tc>
                <w:tcPr>
                  <w:tcW w:w="2387" w:type="pct"/>
                  <w:hideMark/>
                </w:tcPr>
                <w:p w:rsidR="004924F8" w:rsidRPr="00A96732" w:rsidRDefault="004924F8" w:rsidP="00D8087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A967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Important Dates</w:t>
                  </w: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  <w:t>·Online submission of Registration form</w:t>
                  </w: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  <w:t>·</w:t>
                  </w:r>
                  <w:r w:rsidRPr="00D808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Before May 1st, 2013</w:t>
                  </w: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  <w:t xml:space="preserve">·Conference Dates: </w:t>
                  </w:r>
                  <w:r w:rsidR="00D808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                                        </w:t>
                  </w:r>
                  <w:r w:rsidRPr="00D808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May 7-11, 2013</w:t>
                  </w: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  <w:t>·Conference Schedule:</w:t>
                  </w: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A96732">
                    <w:rPr>
                      <w:rFonts w:ascii="MS Gothic" w:eastAsia="MS Gothic" w:hAnsi="MS Gothic" w:cs="MS Gothic"/>
                      <w:color w:val="000000"/>
                      <w:sz w:val="24"/>
                      <w:szCs w:val="24"/>
                      <w:lang w:eastAsia="en-GB"/>
                    </w:rPr>
                    <w:t xml:space="preserve">　</w:t>
                  </w:r>
                  <w:r w:rsidR="00A96732">
                    <w:rPr>
                      <w:rFonts w:ascii="MS Gothic" w:eastAsia="MS Gothic" w:hAnsi="MS Gothic" w:cs="MS Gothic"/>
                      <w:color w:val="000000"/>
                      <w:sz w:val="24"/>
                      <w:szCs w:val="24"/>
                      <w:lang w:eastAsia="en-GB"/>
                    </w:rPr>
                    <w:t xml:space="preserve">  </w:t>
                  </w: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·</w:t>
                  </w:r>
                  <w:r w:rsidRPr="00D808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Registration: May 7th</w:t>
                  </w:r>
                  <w:r w:rsidRPr="00D808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A96732">
                    <w:rPr>
                      <w:rFonts w:ascii="MS Gothic" w:eastAsia="MS Gothic" w:hAnsi="MS Gothic" w:cs="MS Gothic"/>
                      <w:color w:val="000000"/>
                      <w:sz w:val="24"/>
                      <w:szCs w:val="24"/>
                      <w:lang w:eastAsia="en-GB"/>
                    </w:rPr>
                    <w:t xml:space="preserve">　</w:t>
                  </w:r>
                  <w:r w:rsidR="00A96732">
                    <w:rPr>
                      <w:rFonts w:ascii="MS Gothic" w:eastAsia="MS Gothic" w:hAnsi="MS Gothic" w:cs="MS Gothic"/>
                      <w:color w:val="000000"/>
                      <w:sz w:val="24"/>
                      <w:szCs w:val="24"/>
                      <w:lang w:eastAsia="en-GB"/>
                    </w:rPr>
                    <w:t xml:space="preserve">  </w:t>
                  </w: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·Presentations: May 8th, 9th</w:t>
                  </w: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A96732">
                    <w:rPr>
                      <w:rFonts w:ascii="MS Gothic" w:eastAsia="MS Gothic" w:hAnsi="MS Gothic" w:cs="MS Gothic"/>
                      <w:color w:val="000000"/>
                      <w:sz w:val="24"/>
                      <w:szCs w:val="24"/>
                      <w:lang w:eastAsia="en-GB"/>
                    </w:rPr>
                    <w:t xml:space="preserve">　</w:t>
                  </w:r>
                  <w:r w:rsidR="00A96732">
                    <w:rPr>
                      <w:rFonts w:ascii="MS Gothic" w:eastAsia="MS Gothic" w:hAnsi="MS Gothic" w:cs="MS Gothic"/>
                      <w:color w:val="000000"/>
                      <w:sz w:val="24"/>
                      <w:szCs w:val="24"/>
                      <w:lang w:eastAsia="en-GB"/>
                    </w:rPr>
                    <w:t xml:space="preserve">  </w:t>
                  </w: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·Tour on the </w:t>
                  </w:r>
                  <w:proofErr w:type="spellStart"/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Wenchuan</w:t>
                  </w:r>
                  <w:proofErr w:type="spellEnd"/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earthquake &amp;</w:t>
                  </w:r>
                  <w:r w:rsidR="00D808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                                                                                          site view     </w:t>
                  </w: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D808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                                                                       </w:t>
                  </w: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A96732">
                    <w:rPr>
                      <w:rFonts w:ascii="MS Gothic" w:eastAsia="MS Gothic" w:hAnsi="MS Gothic" w:cs="MS Gothic"/>
                      <w:color w:val="000000"/>
                      <w:sz w:val="24"/>
                      <w:szCs w:val="24"/>
                      <w:lang w:eastAsia="en-GB"/>
                    </w:rPr>
                    <w:t xml:space="preserve">　</w:t>
                  </w: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·</w:t>
                  </w:r>
                  <w:proofErr w:type="spellStart"/>
                  <w:r w:rsidRPr="00D808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Pandan</w:t>
                  </w:r>
                  <w:proofErr w:type="spellEnd"/>
                  <w:r w:rsidRPr="00D808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: May 10th</w:t>
                  </w:r>
                  <w:r w:rsidRPr="00D808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D80871">
                    <w:rPr>
                      <w:rFonts w:ascii="MS Gothic" w:eastAsia="MS Gothic" w:hAnsi="MS Gothic" w:cs="MS Gothic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　</w:t>
                  </w:r>
                  <w:r w:rsidRPr="00D808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·Discharge: May 11th</w:t>
                  </w:r>
                  <w:r w:rsidRPr="00D808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A967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Conference Location</w:t>
                  </w: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  <w:t>Chengdu, China</w:t>
                  </w: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90930" cy="881380"/>
                        <wp:effectExtent l="19050" t="0" r="0" b="0"/>
                        <wp:docPr id="2" name="Picture 2" descr="http://www.365icl.com/img/201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365icl.com/img/201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0930" cy="881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A967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</w:p>
                <w:p w:rsidR="004924F8" w:rsidRDefault="00D80871" w:rsidP="00D8087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Secretariat </w:t>
                  </w:r>
                  <w:r w:rsidR="004924F8" w:rsidRPr="004924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Contact</w:t>
                  </w:r>
                  <w:r w:rsidR="004924F8"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  <w:t>Cindy Ye, Institute of Care-life</w:t>
                  </w:r>
                  <w:r w:rsidR="004924F8"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  <w:t>Tel: 86-28-85980420</w:t>
                  </w:r>
                  <w:r w:rsidR="004924F8"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  <w:t>Fax: 86-28-85980418</w:t>
                  </w:r>
                  <w:r w:rsidR="004924F8" w:rsidRPr="004924F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br/>
                    <w:t xml:space="preserve">Email: </w:t>
                  </w:r>
                  <w:hyperlink r:id="rId7" w:history="1">
                    <w:r w:rsidR="004924F8" w:rsidRPr="004924F8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en-GB"/>
                      </w:rPr>
                      <w:t>2013EEWS@huania.com</w:t>
                    </w:r>
                  </w:hyperlink>
                </w:p>
                <w:p w:rsidR="004924F8" w:rsidRDefault="004924F8" w:rsidP="00D8087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4924F8" w:rsidRPr="00D80871" w:rsidRDefault="00D80871" w:rsidP="00D80871">
                  <w:pPr>
                    <w:pStyle w:val="NoSpacing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D80871">
                    <w:rPr>
                      <w:rFonts w:ascii="Arial" w:hAnsi="Arial" w:cs="Arial"/>
                      <w:b/>
                      <w:bCs/>
                      <w:sz w:val="24"/>
                      <w:szCs w:val="32"/>
                      <w:lang w:eastAsia="en-GB"/>
                    </w:rPr>
                    <w:t>International Consultants</w:t>
                  </w:r>
                </w:p>
                <w:p w:rsidR="004924F8" w:rsidRDefault="00D80871" w:rsidP="00D80871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4"/>
                      <w:szCs w:val="32"/>
                      <w:lang w:eastAsia="en-GB"/>
                    </w:rPr>
                  </w:pPr>
                  <w:r w:rsidRPr="00D80871">
                    <w:rPr>
                      <w:rFonts w:ascii="Arial" w:hAnsi="Arial" w:cs="Arial"/>
                      <w:b/>
                      <w:bCs/>
                      <w:sz w:val="24"/>
                      <w:szCs w:val="32"/>
                      <w:lang w:eastAsia="en-GB"/>
                    </w:rPr>
                    <w:t>Garry de la Pomerai</w:t>
                  </w:r>
                </w:p>
                <w:p w:rsidR="00D80871" w:rsidRDefault="00D80871" w:rsidP="00D80871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4"/>
                      <w:szCs w:val="32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32"/>
                      <w:lang w:eastAsia="en-GB"/>
                    </w:rPr>
                    <w:t>Khizer Omer</w:t>
                  </w:r>
                </w:p>
                <w:p w:rsidR="0008761A" w:rsidRDefault="0008761A" w:rsidP="00D80871">
                  <w:pPr>
                    <w:pStyle w:val="NoSpacing"/>
                    <w:rPr>
                      <w:rFonts w:ascii="Arial" w:hAnsi="Arial" w:cs="Arial"/>
                      <w:sz w:val="24"/>
                      <w:szCs w:val="32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  <w:lang w:eastAsia="en-GB"/>
                    </w:rPr>
                    <w:t>Operational Directors</w:t>
                  </w:r>
                </w:p>
                <w:p w:rsidR="00D80871" w:rsidRPr="00D80871" w:rsidRDefault="00D80871" w:rsidP="00D80871">
                  <w:pPr>
                    <w:pStyle w:val="NoSpacing"/>
                    <w:rPr>
                      <w:rFonts w:ascii="Arial" w:hAnsi="Arial" w:cs="Arial"/>
                      <w:sz w:val="24"/>
                      <w:szCs w:val="32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  <w:lang w:eastAsia="en-GB"/>
                    </w:rPr>
                    <w:t>“</w:t>
                  </w:r>
                  <w:r w:rsidRPr="00D80871">
                    <w:rPr>
                      <w:rFonts w:ascii="Arial" w:hAnsi="Arial" w:cs="Arial"/>
                      <w:sz w:val="24"/>
                      <w:szCs w:val="32"/>
                      <w:lang w:eastAsia="en-GB"/>
                    </w:rPr>
                    <w:t xml:space="preserve">Soluzion </w:t>
                  </w:r>
                  <w:r>
                    <w:rPr>
                      <w:rFonts w:ascii="Arial" w:hAnsi="Arial" w:cs="Arial"/>
                      <w:sz w:val="24"/>
                      <w:szCs w:val="32"/>
                      <w:lang w:eastAsia="en-GB"/>
                    </w:rPr>
                    <w:t xml:space="preserve">Systems” </w:t>
                  </w:r>
                  <w:r w:rsidRPr="00D80871">
                    <w:rPr>
                      <w:rFonts w:ascii="Arial" w:hAnsi="Arial" w:cs="Arial"/>
                      <w:sz w:val="24"/>
                      <w:szCs w:val="32"/>
                      <w:lang w:eastAsia="en-GB"/>
                    </w:rPr>
                    <w:t>VVSC LLC UAE</w:t>
                  </w:r>
                </w:p>
                <w:p w:rsidR="00D80871" w:rsidRPr="00D80871" w:rsidRDefault="00D80871" w:rsidP="00D80871">
                  <w:pPr>
                    <w:pStyle w:val="NoSpacing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4924F8" w:rsidRPr="004924F8" w:rsidRDefault="004924F8" w:rsidP="00D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</w:tbl>
    <w:p w:rsidR="004924F8" w:rsidRPr="004924F8" w:rsidRDefault="00D80871" w:rsidP="004924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20"/>
          <w:lang w:eastAsia="en-GB"/>
        </w:rPr>
      </w:pPr>
      <w:r>
        <w:rPr>
          <w:rFonts w:ascii="Arial" w:eastAsia="Times New Roman" w:hAnsi="Arial" w:cs="Arial"/>
          <w:vanish/>
          <w:sz w:val="16"/>
          <w:szCs w:val="20"/>
          <w:lang w:eastAsia="en-GB"/>
        </w:rPr>
        <w:lastRenderedPageBreak/>
        <w:br w:type="textWrapping" w:clear="all"/>
      </w:r>
      <w:r w:rsidR="004924F8" w:rsidRPr="004924F8">
        <w:rPr>
          <w:rFonts w:ascii="Arial" w:eastAsia="Times New Roman" w:hAnsi="Arial" w:cs="Arial"/>
          <w:vanish/>
          <w:sz w:val="16"/>
          <w:szCs w:val="20"/>
          <w:lang w:eastAsia="en-GB"/>
        </w:rPr>
        <w:t>Bottom of Form</w:t>
      </w:r>
    </w:p>
    <w:p w:rsidR="00C66E97" w:rsidRDefault="0052051F"/>
    <w:sectPr w:rsidR="00C66E97" w:rsidSect="00114DA9">
      <w:pgSz w:w="11906" w:h="16838"/>
      <w:pgMar w:top="142" w:right="140" w:bottom="568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D36"/>
    <w:multiLevelType w:val="hybridMultilevel"/>
    <w:tmpl w:val="545E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72AA3"/>
    <w:multiLevelType w:val="hybridMultilevel"/>
    <w:tmpl w:val="AE22E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B1A52"/>
    <w:multiLevelType w:val="hybridMultilevel"/>
    <w:tmpl w:val="CE5E6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A14BD"/>
    <w:multiLevelType w:val="hybridMultilevel"/>
    <w:tmpl w:val="8328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06341"/>
    <w:multiLevelType w:val="hybridMultilevel"/>
    <w:tmpl w:val="0580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71888"/>
    <w:multiLevelType w:val="hybridMultilevel"/>
    <w:tmpl w:val="94D2E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80FCE"/>
    <w:multiLevelType w:val="hybridMultilevel"/>
    <w:tmpl w:val="E18E9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0E6DFE"/>
    <w:multiLevelType w:val="hybridMultilevel"/>
    <w:tmpl w:val="DB82B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92856"/>
    <w:multiLevelType w:val="hybridMultilevel"/>
    <w:tmpl w:val="3CFA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C4027"/>
    <w:multiLevelType w:val="hybridMultilevel"/>
    <w:tmpl w:val="3CF86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924F8"/>
    <w:rsid w:val="0008761A"/>
    <w:rsid w:val="00114DA9"/>
    <w:rsid w:val="001E6DB8"/>
    <w:rsid w:val="004924F8"/>
    <w:rsid w:val="004F31D6"/>
    <w:rsid w:val="0052051F"/>
    <w:rsid w:val="007051F1"/>
    <w:rsid w:val="00884B4B"/>
    <w:rsid w:val="00910690"/>
    <w:rsid w:val="009D7AEE"/>
    <w:rsid w:val="00A777EF"/>
    <w:rsid w:val="00A96732"/>
    <w:rsid w:val="00D23505"/>
    <w:rsid w:val="00D8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4F8"/>
    <w:rPr>
      <w:strike w:val="0"/>
      <w:dstrike w:val="0"/>
      <w:color w:val="000000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24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24F8"/>
    <w:rPr>
      <w:rFonts w:ascii="Arial" w:eastAsia="Times New Roman" w:hAnsi="Arial" w:cs="Arial"/>
      <w:vanish/>
      <w:sz w:val="16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49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924F8"/>
    <w:rPr>
      <w:b/>
      <w:bCs/>
    </w:rPr>
  </w:style>
  <w:style w:type="character" w:customStyle="1" w:styleId="style6">
    <w:name w:val="style6"/>
    <w:basedOn w:val="DefaultParagraphFont"/>
    <w:rsid w:val="004924F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24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24F8"/>
    <w:rPr>
      <w:rFonts w:ascii="Arial" w:eastAsia="Times New Roman" w:hAnsi="Arial" w:cs="Arial"/>
      <w:vanish/>
      <w:sz w:val="16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4F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F8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A96732"/>
    <w:pPr>
      <w:ind w:left="720"/>
      <w:contextualSpacing/>
    </w:pPr>
  </w:style>
  <w:style w:type="paragraph" w:styleId="NoSpacing">
    <w:name w:val="No Spacing"/>
    <w:uiPriority w:val="1"/>
    <w:qFormat/>
    <w:rsid w:val="00D808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13EEWS@huan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</dc:creator>
  <cp:lastModifiedBy>garry</cp:lastModifiedBy>
  <cp:revision>2</cp:revision>
  <dcterms:created xsi:type="dcterms:W3CDTF">2013-03-20T18:09:00Z</dcterms:created>
  <dcterms:modified xsi:type="dcterms:W3CDTF">2013-03-20T18:09:00Z</dcterms:modified>
</cp:coreProperties>
</file>